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E06FBB">
      <w:pPr>
        <w:pStyle w:val="4"/>
        <w:jc w:val="center"/>
        <w:rPr>
          <w:rFonts w:hint="default" w:ascii="ˎ̥" w:hAnsi="ˎ̥"/>
          <w:b/>
          <w:color w:val="auto"/>
          <w:sz w:val="44"/>
          <w:szCs w:val="44"/>
          <w:shd w:val="clear" w:color="auto" w:fill="auto"/>
        </w:rPr>
      </w:pPr>
      <w:r>
        <w:rPr>
          <w:b/>
          <w:color w:val="auto"/>
          <w:sz w:val="44"/>
          <w:szCs w:val="44"/>
          <w:shd w:val="clear" w:color="auto" w:fill="auto"/>
        </w:rPr>
        <w:t>工程量清单编制说明</w:t>
      </w:r>
    </w:p>
    <w:p w14:paraId="1525E13E">
      <w:pPr>
        <w:pStyle w:val="4"/>
        <w:spacing w:before="0" w:beforeAutospacing="0" w:after="0" w:afterAutospacing="0"/>
        <w:rPr>
          <w:rFonts w:hint="eastAsia"/>
          <w:color w:val="auto"/>
          <w:szCs w:val="21"/>
          <w:shd w:val="clear" w:color="auto" w:fill="auto"/>
          <w:lang w:eastAsia="zh-CN"/>
        </w:rPr>
      </w:pPr>
      <w:r>
        <w:rPr>
          <w:color w:val="auto"/>
          <w:szCs w:val="21"/>
          <w:shd w:val="clear" w:color="auto" w:fill="auto"/>
        </w:rPr>
        <w:t>工程名称：</w:t>
      </w:r>
      <w:r>
        <w:rPr>
          <w:rFonts w:hint="eastAsia"/>
          <w:color w:val="auto"/>
          <w:szCs w:val="21"/>
          <w:shd w:val="clear" w:color="auto" w:fill="auto"/>
          <w:lang w:eastAsia="zh-CN"/>
        </w:rPr>
        <w:t>临安区板桥镇竹材分拣中心(秋口村)二期建设项目</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0"/>
      </w:tblGrid>
      <w:tr w14:paraId="02492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5" w:hRule="atLeast"/>
          <w:jc w:val="center"/>
        </w:trPr>
        <w:tc>
          <w:tcPr>
            <w:tcW w:w="8880" w:type="dxa"/>
          </w:tcPr>
          <w:p w14:paraId="0D1E3392">
            <w:pPr>
              <w:widowControl w:val="0"/>
              <w:numPr>
                <w:ilvl w:val="0"/>
                <w:numId w:val="1"/>
              </w:numPr>
              <w:spacing w:line="360" w:lineRule="auto"/>
              <w:jc w:val="both"/>
              <w:rPr>
                <w:rFonts w:ascii="宋体" w:hAnsi="宋体" w:eastAsia="宋体" w:cs="宋体"/>
                <w:color w:val="auto"/>
                <w:sz w:val="24"/>
                <w:szCs w:val="24"/>
                <w:shd w:val="clear" w:color="auto" w:fill="auto"/>
              </w:rPr>
            </w:pPr>
            <w:r>
              <w:rPr>
                <w:rFonts w:ascii="宋体" w:hAnsi="宋体" w:eastAsia="宋体" w:cs="宋体"/>
                <w:color w:val="auto"/>
                <w:sz w:val="24"/>
                <w:szCs w:val="24"/>
                <w:shd w:val="clear" w:color="auto" w:fill="auto"/>
              </w:rPr>
              <w:t>工程概况</w:t>
            </w:r>
            <w:r>
              <w:rPr>
                <w:rFonts w:hint="eastAsia" w:ascii="宋体" w:hAnsi="宋体" w:cs="宋体"/>
                <w:color w:val="auto"/>
                <w:sz w:val="24"/>
                <w:szCs w:val="24"/>
                <w:shd w:val="clear" w:color="auto" w:fill="auto"/>
                <w:lang w:eastAsia="zh-CN"/>
              </w:rPr>
              <w:t>：</w:t>
            </w:r>
            <w:r>
              <w:rPr>
                <w:rFonts w:hint="eastAsia" w:ascii="宋体" w:hAnsi="宋体" w:eastAsia="宋体" w:cs="宋体"/>
                <w:color w:val="auto"/>
                <w:sz w:val="24"/>
                <w:szCs w:val="24"/>
                <w:shd w:val="clear" w:color="auto" w:fill="auto"/>
              </w:rPr>
              <w:t>本工程施工地点位于浙江省</w:t>
            </w:r>
            <w:r>
              <w:rPr>
                <w:rFonts w:hint="eastAsia" w:ascii="宋体" w:hAnsi="宋体" w:cs="宋体"/>
                <w:color w:val="auto"/>
                <w:sz w:val="24"/>
                <w:szCs w:val="24"/>
                <w:shd w:val="clear" w:color="auto" w:fill="auto"/>
                <w:lang w:eastAsia="zh-CN"/>
              </w:rPr>
              <w:t>秋口村早湾里</w:t>
            </w:r>
            <w:r>
              <w:rPr>
                <w:rFonts w:hint="eastAsia" w:ascii="宋体" w:hAnsi="宋体" w:eastAsia="宋体" w:cs="宋体"/>
                <w:color w:val="auto"/>
                <w:sz w:val="24"/>
                <w:szCs w:val="24"/>
                <w:shd w:val="clear" w:color="auto" w:fill="auto"/>
              </w:rPr>
              <w:t>，工程范围</w:t>
            </w:r>
            <w:r>
              <w:rPr>
                <w:rFonts w:hint="eastAsia" w:ascii="宋体" w:hAnsi="宋体" w:cs="宋体"/>
                <w:color w:val="auto"/>
                <w:sz w:val="24"/>
                <w:szCs w:val="24"/>
                <w:shd w:val="clear" w:color="auto" w:fill="auto"/>
                <w:lang w:val="en-US" w:eastAsia="zh-CN"/>
              </w:rPr>
              <w:t>为</w:t>
            </w:r>
            <w:r>
              <w:rPr>
                <w:rFonts w:hint="eastAsia" w:ascii="宋体" w:hAnsi="宋体"/>
                <w:snapToGrid w:val="0"/>
                <w:color w:val="auto"/>
                <w:sz w:val="24"/>
                <w:shd w:val="clear" w:color="auto" w:fill="auto"/>
                <w:lang w:val="en-US" w:eastAsia="zh-CN"/>
              </w:rPr>
              <w:t>主体建设，室内装修，室外给水</w:t>
            </w:r>
            <w:r>
              <w:rPr>
                <w:rFonts w:hint="eastAsia" w:ascii="宋体" w:hAnsi="宋体"/>
                <w:snapToGrid w:val="0"/>
                <w:color w:val="auto"/>
                <w:sz w:val="24"/>
                <w:shd w:val="clear" w:color="auto" w:fill="auto"/>
              </w:rPr>
              <w:t>。</w:t>
            </w:r>
          </w:p>
          <w:p w14:paraId="22DC7C87">
            <w:pPr>
              <w:widowControl w:val="0"/>
              <w:numPr>
                <w:ilvl w:val="0"/>
                <w:numId w:val="1"/>
              </w:numPr>
              <w:spacing w:line="360" w:lineRule="auto"/>
              <w:ind w:left="0" w:leftChars="0" w:firstLine="0" w:firstLineChars="0"/>
              <w:jc w:val="both"/>
              <w:rPr>
                <w:rFonts w:ascii="宋体" w:hAnsi="宋体" w:eastAsia="宋体" w:cs="宋体"/>
                <w:color w:val="auto"/>
                <w:sz w:val="24"/>
                <w:szCs w:val="24"/>
                <w:shd w:val="clear" w:color="auto" w:fill="auto"/>
              </w:rPr>
            </w:pPr>
            <w:r>
              <w:rPr>
                <w:rFonts w:ascii="宋体" w:hAnsi="宋体" w:eastAsia="宋体" w:cs="宋体"/>
                <w:color w:val="auto"/>
                <w:sz w:val="24"/>
                <w:szCs w:val="24"/>
                <w:shd w:val="clear" w:color="auto" w:fill="auto"/>
              </w:rPr>
              <w:t>编制范围：见招标文件。</w:t>
            </w:r>
          </w:p>
          <w:p w14:paraId="0E818046">
            <w:pPr>
              <w:widowControl w:val="0"/>
              <w:numPr>
                <w:ilvl w:val="0"/>
                <w:numId w:val="1"/>
              </w:numPr>
              <w:spacing w:line="360" w:lineRule="auto"/>
              <w:ind w:left="0" w:leftChars="0" w:firstLine="0" w:firstLineChars="0"/>
              <w:jc w:val="both"/>
              <w:rPr>
                <w:rFonts w:ascii="宋体" w:hAnsi="宋体" w:eastAsia="宋体" w:cs="宋体"/>
                <w:color w:val="auto"/>
                <w:sz w:val="24"/>
                <w:szCs w:val="24"/>
                <w:shd w:val="clear" w:color="auto" w:fill="auto"/>
              </w:rPr>
            </w:pPr>
            <w:r>
              <w:rPr>
                <w:rFonts w:ascii="宋体" w:hAnsi="宋体" w:eastAsia="宋体" w:cs="宋体"/>
                <w:color w:val="auto"/>
                <w:sz w:val="24"/>
                <w:szCs w:val="24"/>
                <w:shd w:val="clear" w:color="auto" w:fill="auto"/>
              </w:rPr>
              <w:t xml:space="preserve">清单编制依据 </w:t>
            </w:r>
          </w:p>
          <w:p w14:paraId="3BA0CF26">
            <w:pPr>
              <w:widowControl w:val="0"/>
              <w:numPr>
                <w:ilvl w:val="0"/>
                <w:numId w:val="0"/>
              </w:numPr>
              <w:spacing w:line="360" w:lineRule="auto"/>
              <w:ind w:firstLine="480" w:firstLineChars="200"/>
              <w:jc w:val="both"/>
              <w:rPr>
                <w:rFonts w:hint="eastAsia" w:ascii="宋体" w:hAnsi="宋体" w:cs="宋体"/>
                <w:color w:val="auto"/>
                <w:sz w:val="24"/>
                <w:szCs w:val="24"/>
                <w:shd w:val="clear" w:color="auto" w:fill="auto"/>
                <w:lang w:val="en-US" w:eastAsia="zh-CN"/>
              </w:rPr>
            </w:pPr>
            <w:r>
              <w:rPr>
                <w:rFonts w:hint="eastAsia" w:ascii="宋体" w:hAnsi="宋体" w:cs="宋体"/>
                <w:color w:val="auto"/>
                <w:sz w:val="24"/>
                <w:szCs w:val="24"/>
                <w:shd w:val="clear" w:color="auto" w:fill="auto"/>
                <w:lang w:val="en-US" w:eastAsia="zh-CN"/>
              </w:rPr>
              <w:t xml:space="preserve">1、《建设工程工程量清单计价规范》（GB50500-2013）及浙江省补充规定（浙建站计（20 13）63号）、《浙江省房屋建筑与装饰工程预算定额》（2018）、《浙江省通用安装工程预算定额 》（2018）、《浙江省市政工程预算定额》（2018）、《浙江省园林绿化及仿古建筑工程预算定额 》（2018）、《浙江省施工机械台班费用参考单价》（2018）、《浙江省建设工程计价规则》(201 8)等省、市现行计价文件；  </w:t>
            </w:r>
          </w:p>
          <w:p w14:paraId="0FE96EAC">
            <w:pPr>
              <w:widowControl w:val="0"/>
              <w:numPr>
                <w:ilvl w:val="0"/>
                <w:numId w:val="0"/>
              </w:numPr>
              <w:spacing w:line="360" w:lineRule="auto"/>
              <w:ind w:firstLine="480" w:firstLineChars="200"/>
              <w:jc w:val="both"/>
              <w:rPr>
                <w:rFonts w:hint="eastAsia" w:ascii="宋体" w:hAnsi="宋体" w:cs="宋体"/>
                <w:color w:val="auto"/>
                <w:sz w:val="24"/>
                <w:szCs w:val="24"/>
                <w:shd w:val="clear" w:color="auto" w:fill="auto"/>
                <w:lang w:val="en-US" w:eastAsia="zh-CN"/>
              </w:rPr>
            </w:pPr>
            <w:r>
              <w:rPr>
                <w:rFonts w:hint="eastAsia" w:ascii="宋体" w:hAnsi="宋体" w:cs="宋体"/>
                <w:color w:val="auto"/>
                <w:sz w:val="24"/>
                <w:szCs w:val="24"/>
                <w:shd w:val="clear" w:color="auto" w:fill="auto"/>
                <w:lang w:val="en-US" w:eastAsia="zh-CN"/>
              </w:rPr>
              <w:t>2、《关于增值税调整后我省建设工程计价依据增值税税率及有关计价调整的通知》（浙建 建发【2019】92号）；</w:t>
            </w:r>
          </w:p>
          <w:p w14:paraId="5ED21B37">
            <w:pPr>
              <w:widowControl w:val="0"/>
              <w:numPr>
                <w:ilvl w:val="0"/>
                <w:numId w:val="0"/>
              </w:numPr>
              <w:spacing w:line="360" w:lineRule="auto"/>
              <w:ind w:firstLine="480" w:firstLineChars="200"/>
              <w:jc w:val="both"/>
              <w:rPr>
                <w:rFonts w:hint="eastAsia" w:ascii="宋体" w:hAnsi="宋体" w:cs="宋体"/>
                <w:color w:val="auto"/>
                <w:sz w:val="24"/>
                <w:szCs w:val="24"/>
                <w:shd w:val="clear" w:color="auto" w:fill="auto"/>
                <w:lang w:val="en-US" w:eastAsia="zh-CN"/>
              </w:rPr>
            </w:pPr>
            <w:r>
              <w:rPr>
                <w:rFonts w:hint="eastAsia" w:ascii="宋体" w:hAnsi="宋体" w:cs="宋体"/>
                <w:color w:val="auto"/>
                <w:sz w:val="24"/>
                <w:szCs w:val="24"/>
                <w:shd w:val="clear" w:color="auto" w:fill="auto"/>
                <w:lang w:val="en-US" w:eastAsia="zh-CN"/>
              </w:rPr>
              <w:t>3、建设单位提供的施工图（图纸版本或出图日期）、地质勘查资料及相关资料等；</w:t>
            </w:r>
          </w:p>
          <w:p w14:paraId="599A5A37">
            <w:pPr>
              <w:widowControl w:val="0"/>
              <w:numPr>
                <w:ilvl w:val="0"/>
                <w:numId w:val="0"/>
              </w:numPr>
              <w:spacing w:line="360" w:lineRule="auto"/>
              <w:jc w:val="both"/>
              <w:rPr>
                <w:rFonts w:hint="eastAsia" w:ascii="宋体" w:hAnsi="宋体"/>
                <w:color w:val="auto"/>
                <w:szCs w:val="21"/>
                <w:shd w:val="clear" w:color="auto" w:fill="auto"/>
              </w:rPr>
            </w:pPr>
            <w:r>
              <w:rPr>
                <w:rFonts w:hint="eastAsia" w:ascii="宋体" w:hAnsi="宋体" w:cs="宋体"/>
                <w:color w:val="auto"/>
                <w:sz w:val="24"/>
                <w:szCs w:val="24"/>
                <w:shd w:val="clear" w:color="auto" w:fill="auto"/>
                <w:lang w:val="en-US" w:eastAsia="zh-CN"/>
              </w:rPr>
              <w:t>四、</w:t>
            </w:r>
            <w:r>
              <w:rPr>
                <w:rFonts w:ascii="宋体" w:hAnsi="宋体" w:eastAsia="宋体" w:cs="宋体"/>
                <w:color w:val="auto"/>
                <w:sz w:val="24"/>
                <w:szCs w:val="24"/>
                <w:shd w:val="clear" w:color="auto" w:fill="auto"/>
              </w:rPr>
              <w:t xml:space="preserve">工程质量、工期、材料、施工等要求：见招标文件。 </w:t>
            </w:r>
          </w:p>
          <w:p w14:paraId="39D7D6A9">
            <w:pPr>
              <w:widowControl w:val="0"/>
              <w:numPr>
                <w:ilvl w:val="0"/>
                <w:numId w:val="0"/>
              </w:numPr>
              <w:spacing w:line="360" w:lineRule="auto"/>
              <w:ind w:leftChars="0"/>
              <w:jc w:val="both"/>
              <w:rPr>
                <w:rFonts w:ascii="宋体" w:hAnsi="宋体" w:eastAsia="宋体" w:cs="宋体"/>
                <w:color w:val="auto"/>
                <w:sz w:val="24"/>
                <w:szCs w:val="24"/>
                <w:shd w:val="clear" w:color="auto" w:fill="auto"/>
              </w:rPr>
            </w:pPr>
            <w:r>
              <w:rPr>
                <w:rFonts w:hint="eastAsia" w:ascii="宋体" w:hAnsi="宋体" w:cs="宋体"/>
                <w:color w:val="auto"/>
                <w:sz w:val="24"/>
                <w:szCs w:val="24"/>
                <w:shd w:val="clear" w:color="auto" w:fill="auto"/>
                <w:lang w:val="en-US" w:eastAsia="zh-CN"/>
              </w:rPr>
              <w:t>五、</w:t>
            </w:r>
            <w:r>
              <w:rPr>
                <w:rFonts w:ascii="宋体" w:hAnsi="宋体" w:eastAsia="宋体" w:cs="宋体"/>
                <w:color w:val="auto"/>
                <w:sz w:val="24"/>
                <w:szCs w:val="24"/>
                <w:shd w:val="clear" w:color="auto" w:fill="auto"/>
              </w:rPr>
              <w:t>报价说明：</w:t>
            </w:r>
          </w:p>
          <w:p w14:paraId="222EDD4B">
            <w:pPr>
              <w:widowControl w:val="0"/>
              <w:numPr>
                <w:ilvl w:val="0"/>
                <w:numId w:val="0"/>
              </w:numPr>
              <w:spacing w:line="360" w:lineRule="auto"/>
              <w:ind w:firstLine="480" w:firstLineChars="200"/>
              <w:jc w:val="both"/>
              <w:rPr>
                <w:rFonts w:ascii="宋体" w:hAnsi="宋体" w:eastAsia="宋体" w:cs="宋体"/>
                <w:color w:val="auto"/>
                <w:sz w:val="24"/>
                <w:szCs w:val="24"/>
                <w:shd w:val="clear" w:color="auto" w:fill="auto"/>
              </w:rPr>
            </w:pPr>
            <w:r>
              <w:rPr>
                <w:rFonts w:hint="eastAsia" w:ascii="宋体" w:hAnsi="宋体" w:cs="宋体"/>
                <w:color w:val="auto"/>
                <w:sz w:val="24"/>
                <w:szCs w:val="24"/>
                <w:shd w:val="clear" w:color="auto" w:fill="auto"/>
                <w:lang w:val="en-US" w:eastAsia="zh-CN"/>
              </w:rPr>
              <w:t>1、</w:t>
            </w:r>
            <w:r>
              <w:rPr>
                <w:rFonts w:ascii="宋体" w:hAnsi="宋体" w:eastAsia="宋体" w:cs="宋体"/>
                <w:color w:val="auto"/>
                <w:sz w:val="24"/>
                <w:szCs w:val="24"/>
                <w:shd w:val="clear" w:color="auto" w:fill="auto"/>
              </w:rPr>
              <w:t>安全文明施工基本费按非市区一般工程考虑，应不低于相应基准费率的90%（即施工取 费费率的下限），取费基数为“ 人工费+机械费” ，市政</w:t>
            </w:r>
            <w:r>
              <w:rPr>
                <w:rFonts w:hint="eastAsia" w:ascii="宋体" w:hAnsi="宋体" w:cs="宋体"/>
                <w:color w:val="auto"/>
                <w:sz w:val="24"/>
                <w:szCs w:val="24"/>
                <w:shd w:val="clear" w:color="auto" w:fill="auto"/>
                <w:lang w:val="en-US" w:eastAsia="zh-CN"/>
              </w:rPr>
              <w:t>安装</w:t>
            </w:r>
            <w:r>
              <w:rPr>
                <w:rFonts w:ascii="宋体" w:hAnsi="宋体" w:eastAsia="宋体" w:cs="宋体"/>
                <w:color w:val="auto"/>
                <w:sz w:val="24"/>
                <w:szCs w:val="24"/>
                <w:shd w:val="clear" w:color="auto" w:fill="auto"/>
              </w:rPr>
              <w:t>工程下限为</w:t>
            </w:r>
            <w:r>
              <w:rPr>
                <w:rFonts w:hint="eastAsia" w:ascii="宋体" w:hAnsi="宋体" w:cs="宋体"/>
                <w:color w:val="auto"/>
                <w:sz w:val="24"/>
                <w:szCs w:val="24"/>
                <w:shd w:val="clear" w:color="auto" w:fill="auto"/>
                <w:lang w:val="en-US" w:eastAsia="zh-CN"/>
              </w:rPr>
              <w:t>5.54</w:t>
            </w:r>
            <w:r>
              <w:rPr>
                <w:rFonts w:ascii="宋体" w:hAnsi="宋体" w:eastAsia="宋体" w:cs="宋体"/>
                <w:color w:val="auto"/>
                <w:sz w:val="24"/>
                <w:szCs w:val="24"/>
                <w:shd w:val="clear" w:color="auto" w:fill="auto"/>
              </w:rPr>
              <w:t>%；</w:t>
            </w:r>
            <w:r>
              <w:rPr>
                <w:rFonts w:hint="eastAsia" w:ascii="宋体" w:hAnsi="宋体" w:cs="宋体"/>
                <w:color w:val="auto"/>
                <w:sz w:val="24"/>
                <w:szCs w:val="24"/>
                <w:shd w:val="clear" w:color="auto" w:fill="auto"/>
                <w:lang w:val="en-US" w:eastAsia="zh-CN"/>
              </w:rPr>
              <w:t>土建</w:t>
            </w:r>
            <w:r>
              <w:rPr>
                <w:rFonts w:ascii="宋体" w:hAnsi="宋体" w:eastAsia="宋体" w:cs="宋体"/>
                <w:color w:val="auto"/>
                <w:sz w:val="24"/>
                <w:szCs w:val="24"/>
                <w:shd w:val="clear" w:color="auto" w:fill="auto"/>
              </w:rPr>
              <w:t>工程下限为8.21%，安装工程下限为</w:t>
            </w:r>
            <w:r>
              <w:rPr>
                <w:rFonts w:hint="eastAsia" w:ascii="宋体" w:hAnsi="宋体" w:cs="宋体"/>
                <w:color w:val="auto"/>
                <w:sz w:val="24"/>
                <w:szCs w:val="24"/>
                <w:shd w:val="clear" w:color="auto" w:fill="auto"/>
                <w:lang w:val="en-US" w:eastAsia="zh-CN"/>
              </w:rPr>
              <w:t>6.13</w:t>
            </w:r>
            <w:r>
              <w:rPr>
                <w:rFonts w:ascii="宋体" w:hAnsi="宋体" w:eastAsia="宋体" w:cs="宋体"/>
                <w:color w:val="auto"/>
                <w:sz w:val="24"/>
                <w:szCs w:val="24"/>
                <w:shd w:val="clear" w:color="auto" w:fill="auto"/>
              </w:rPr>
              <w:t>%；</w:t>
            </w:r>
          </w:p>
          <w:p w14:paraId="72AC6E95">
            <w:pPr>
              <w:widowControl w:val="0"/>
              <w:numPr>
                <w:ilvl w:val="0"/>
                <w:numId w:val="0"/>
              </w:numPr>
              <w:spacing w:line="360" w:lineRule="auto"/>
              <w:ind w:firstLine="480" w:firstLineChars="200"/>
              <w:jc w:val="both"/>
              <w:rPr>
                <w:rFonts w:ascii="宋体" w:hAnsi="宋体" w:eastAsia="宋体" w:cs="宋体"/>
                <w:color w:val="auto"/>
                <w:sz w:val="24"/>
                <w:szCs w:val="24"/>
                <w:shd w:val="clear" w:color="auto" w:fill="auto"/>
              </w:rPr>
            </w:pPr>
            <w:r>
              <w:rPr>
                <w:rFonts w:ascii="宋体" w:hAnsi="宋体" w:eastAsia="宋体" w:cs="宋体"/>
                <w:color w:val="auto"/>
                <w:sz w:val="24"/>
                <w:szCs w:val="24"/>
                <w:shd w:val="clear" w:color="auto" w:fill="auto"/>
              </w:rPr>
              <w:t>2、 规费费率不得低于标准费率的30%（市政</w:t>
            </w:r>
            <w:r>
              <w:rPr>
                <w:rFonts w:hint="eastAsia" w:ascii="宋体" w:hAnsi="宋体" w:cs="宋体"/>
                <w:color w:val="auto"/>
                <w:sz w:val="24"/>
                <w:szCs w:val="24"/>
                <w:shd w:val="clear" w:color="auto" w:fill="auto"/>
                <w:lang w:val="en-US" w:eastAsia="zh-CN"/>
              </w:rPr>
              <w:t>安装</w:t>
            </w:r>
            <w:r>
              <w:rPr>
                <w:rFonts w:ascii="宋体" w:hAnsi="宋体" w:eastAsia="宋体" w:cs="宋体"/>
                <w:color w:val="auto"/>
                <w:sz w:val="24"/>
                <w:szCs w:val="24"/>
                <w:shd w:val="clear" w:color="auto" w:fill="auto"/>
              </w:rPr>
              <w:t>工程标准费率为</w:t>
            </w:r>
            <w:r>
              <w:rPr>
                <w:rFonts w:hint="eastAsia" w:ascii="宋体" w:hAnsi="宋体" w:cs="宋体"/>
                <w:color w:val="auto"/>
                <w:sz w:val="24"/>
                <w:szCs w:val="24"/>
                <w:shd w:val="clear" w:color="auto" w:fill="auto"/>
                <w:lang w:val="en-US" w:eastAsia="zh-CN"/>
              </w:rPr>
              <w:t>27.8</w:t>
            </w:r>
            <w:r>
              <w:rPr>
                <w:rFonts w:ascii="宋体" w:hAnsi="宋体" w:eastAsia="宋体" w:cs="宋体"/>
                <w:color w:val="auto"/>
                <w:sz w:val="24"/>
                <w:szCs w:val="24"/>
                <w:shd w:val="clear" w:color="auto" w:fill="auto"/>
              </w:rPr>
              <w:t>%；</w:t>
            </w:r>
            <w:r>
              <w:rPr>
                <w:rFonts w:hint="eastAsia" w:ascii="宋体" w:hAnsi="宋体" w:cs="宋体"/>
                <w:color w:val="auto"/>
                <w:sz w:val="24"/>
                <w:szCs w:val="24"/>
                <w:shd w:val="clear" w:color="auto" w:fill="auto"/>
                <w:lang w:val="en-US" w:eastAsia="zh-CN"/>
              </w:rPr>
              <w:t>土建</w:t>
            </w:r>
            <w:r>
              <w:rPr>
                <w:rFonts w:ascii="宋体" w:hAnsi="宋体" w:eastAsia="宋体" w:cs="宋体"/>
                <w:color w:val="auto"/>
                <w:sz w:val="24"/>
                <w:szCs w:val="24"/>
                <w:shd w:val="clear" w:color="auto" w:fill="auto"/>
              </w:rPr>
              <w:t>工程标准费率为25.78%，安装工程标准费率为30.63%），取费基数为“ 人工费+ 机械费” ；税金费率按9%计取；</w:t>
            </w:r>
          </w:p>
          <w:p w14:paraId="72D8E304">
            <w:pPr>
              <w:widowControl w:val="0"/>
              <w:numPr>
                <w:ilvl w:val="0"/>
                <w:numId w:val="0"/>
              </w:numPr>
              <w:spacing w:line="360" w:lineRule="auto"/>
              <w:ind w:firstLine="480" w:firstLineChars="200"/>
              <w:jc w:val="both"/>
              <w:rPr>
                <w:rFonts w:ascii="宋体" w:hAnsi="宋体" w:eastAsia="宋体" w:cs="宋体"/>
                <w:color w:val="auto"/>
                <w:sz w:val="24"/>
                <w:szCs w:val="24"/>
                <w:shd w:val="clear" w:color="auto" w:fill="auto"/>
              </w:rPr>
            </w:pPr>
            <w:r>
              <w:rPr>
                <w:rFonts w:ascii="宋体" w:hAnsi="宋体" w:eastAsia="宋体" w:cs="宋体"/>
                <w:color w:val="auto"/>
                <w:sz w:val="24"/>
                <w:szCs w:val="24"/>
                <w:shd w:val="clear" w:color="auto" w:fill="auto"/>
              </w:rPr>
              <w:t xml:space="preserve"> 3、 企业管理费报价不得低于省建设行政主管部门颁发的《浙江省建设工程计价规则（2018版）》和相关取费计价文件规定的对应专业工程企业管理费弹性费率下限乘以20%（本工程下限费率：市政</w:t>
            </w:r>
            <w:r>
              <w:rPr>
                <w:rFonts w:hint="eastAsia" w:ascii="宋体" w:hAnsi="宋体" w:cs="宋体"/>
                <w:color w:val="auto"/>
                <w:sz w:val="24"/>
                <w:szCs w:val="24"/>
                <w:shd w:val="clear" w:color="auto" w:fill="auto"/>
                <w:lang w:val="en-US" w:eastAsia="zh-CN"/>
              </w:rPr>
              <w:t>安装</w:t>
            </w:r>
            <w:r>
              <w:rPr>
                <w:rFonts w:ascii="宋体" w:hAnsi="宋体" w:eastAsia="宋体" w:cs="宋体"/>
                <w:color w:val="auto"/>
                <w:sz w:val="24"/>
                <w:szCs w:val="24"/>
                <w:shd w:val="clear" w:color="auto" w:fill="auto"/>
              </w:rPr>
              <w:t>工程为</w:t>
            </w:r>
            <w:r>
              <w:rPr>
                <w:rFonts w:hint="eastAsia" w:ascii="宋体" w:hAnsi="宋体" w:cs="宋体"/>
                <w:color w:val="auto"/>
                <w:sz w:val="24"/>
                <w:szCs w:val="24"/>
                <w:shd w:val="clear" w:color="auto" w:fill="auto"/>
                <w:lang w:val="en-US" w:eastAsia="zh-CN"/>
              </w:rPr>
              <w:t>12.598</w:t>
            </w:r>
            <w:r>
              <w:rPr>
                <w:rFonts w:ascii="宋体" w:hAnsi="宋体" w:eastAsia="宋体" w:cs="宋体"/>
                <w:color w:val="auto"/>
                <w:sz w:val="24"/>
                <w:szCs w:val="24"/>
                <w:shd w:val="clear" w:color="auto" w:fill="auto"/>
              </w:rPr>
              <w:t>%；</w:t>
            </w:r>
            <w:r>
              <w:rPr>
                <w:rFonts w:hint="eastAsia" w:ascii="宋体" w:hAnsi="宋体" w:cs="宋体"/>
                <w:color w:val="auto"/>
                <w:sz w:val="24"/>
                <w:szCs w:val="24"/>
                <w:shd w:val="clear" w:color="auto" w:fill="auto"/>
                <w:lang w:val="en-US" w:eastAsia="zh-CN"/>
              </w:rPr>
              <w:t>土建</w:t>
            </w:r>
            <w:r>
              <w:rPr>
                <w:rFonts w:ascii="宋体" w:hAnsi="宋体" w:eastAsia="宋体" w:cs="宋体"/>
                <w:color w:val="auto"/>
                <w:sz w:val="24"/>
                <w:szCs w:val="24"/>
                <w:shd w:val="clear" w:color="auto" w:fill="auto"/>
              </w:rPr>
              <w:t>工程为12.43%，安装工程为16.29%）的计算值。企业管理费的取费基数为人工费+机械费。其他施工组织措施费由投标人自行考虑报价。</w:t>
            </w:r>
          </w:p>
          <w:p w14:paraId="6CD3AB55">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snapToGrid w:val="0"/>
                <w:sz w:val="24"/>
              </w:rPr>
            </w:pPr>
            <w:r>
              <w:rPr>
                <w:rFonts w:hint="eastAsia" w:ascii="宋体" w:hAnsi="宋体"/>
                <w:snapToGrid w:val="0"/>
                <w:sz w:val="24"/>
                <w:lang w:val="en-US" w:eastAsia="zh-CN"/>
              </w:rPr>
              <w:t>4、</w:t>
            </w:r>
            <w:r>
              <w:rPr>
                <w:rFonts w:hint="eastAsia" w:ascii="宋体" w:hAnsi="宋体"/>
                <w:snapToGrid w:val="0"/>
                <w:sz w:val="24"/>
              </w:rPr>
              <w:t>根据 《杭州市城乡建设委员会关于推进杭州市建筑施工领域安全生产责任保险工作的通知》（杭建工发〔2021〕384号）、《关于明确杭州市建筑施工领域安全生产责任保险费用计取的通知》等文件要求，本项目招标控制价编制时已考虑安责险预算并计入建安工程造价内，请投标人在投标报价时，结合工程实际和企业信用状况将安责险列入企业管理费中进行自主报价；</w:t>
            </w:r>
          </w:p>
          <w:p w14:paraId="61E791A8">
            <w:pPr>
              <w:keepNext w:val="0"/>
              <w:keepLines w:val="0"/>
              <w:pageBreakBefore w:val="0"/>
              <w:widowControl w:val="0"/>
              <w:numPr>
                <w:ilvl w:val="0"/>
                <w:numId w:val="0"/>
              </w:numPr>
              <w:tabs>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snapToGrid w:val="0"/>
                <w:sz w:val="24"/>
              </w:rPr>
            </w:pPr>
            <w:r>
              <w:rPr>
                <w:rFonts w:hint="eastAsia" w:ascii="宋体" w:hAnsi="宋体"/>
                <w:snapToGrid w:val="0"/>
                <w:sz w:val="24"/>
                <w:lang w:val="en-US" w:eastAsia="zh-CN"/>
              </w:rPr>
              <w:t>5、</w:t>
            </w:r>
            <w:r>
              <w:rPr>
                <w:rFonts w:hint="eastAsia" w:ascii="宋体" w:hAnsi="宋体"/>
                <w:snapToGrid w:val="0"/>
                <w:sz w:val="24"/>
              </w:rPr>
              <w:t>根据浙建建发[2022]37号文件，安全文明施工基本费中增加疫情常态化防控和“智慧工地”增加费两项费用，本项目招标控制价编制时已考虑相关费用并计入建安造价，请投标人在投标报价时，结合工程实际和企业信用状况将其列入安全文明费中进行自主报价。</w:t>
            </w:r>
          </w:p>
          <w:p w14:paraId="5348F16A">
            <w:pPr>
              <w:widowControl w:val="0"/>
              <w:numPr>
                <w:ilvl w:val="0"/>
                <w:numId w:val="0"/>
              </w:numPr>
              <w:spacing w:line="360" w:lineRule="auto"/>
              <w:ind w:firstLine="480" w:firstLineChars="200"/>
              <w:jc w:val="both"/>
              <w:rPr>
                <w:rFonts w:hint="eastAsia" w:ascii="宋体" w:hAnsi="宋体" w:eastAsia="宋体" w:cs="宋体"/>
                <w:color w:val="auto"/>
                <w:sz w:val="24"/>
                <w:szCs w:val="24"/>
                <w:shd w:val="clear" w:color="auto" w:fill="auto"/>
              </w:rPr>
            </w:pPr>
          </w:p>
          <w:p w14:paraId="7E467800">
            <w:pPr>
              <w:widowControl w:val="0"/>
              <w:numPr>
                <w:ilvl w:val="0"/>
                <w:numId w:val="0"/>
              </w:numPr>
              <w:spacing w:line="360" w:lineRule="auto"/>
              <w:ind w:firstLine="480" w:firstLineChars="200"/>
              <w:jc w:val="both"/>
              <w:rPr>
                <w:rFonts w:ascii="宋体" w:hAnsi="宋体" w:eastAsia="宋体" w:cs="宋体"/>
                <w:color w:val="auto"/>
                <w:sz w:val="24"/>
                <w:szCs w:val="24"/>
                <w:shd w:val="clear" w:color="auto" w:fill="auto"/>
              </w:rPr>
            </w:pPr>
            <w:r>
              <w:rPr>
                <w:rFonts w:hint="eastAsia" w:ascii="宋体" w:hAnsi="宋体" w:cs="宋体"/>
                <w:color w:val="auto"/>
                <w:sz w:val="24"/>
                <w:szCs w:val="24"/>
                <w:shd w:val="clear" w:color="auto" w:fill="auto"/>
                <w:lang w:val="en-US" w:eastAsia="zh-CN"/>
              </w:rPr>
              <w:t>6</w:t>
            </w:r>
            <w:r>
              <w:rPr>
                <w:rFonts w:hint="eastAsia" w:ascii="宋体" w:hAnsi="宋体" w:eastAsia="宋体" w:cs="宋体"/>
                <w:color w:val="auto"/>
                <w:sz w:val="24"/>
                <w:szCs w:val="24"/>
                <w:shd w:val="clear" w:color="auto" w:fill="auto"/>
                <w:lang w:val="en-US" w:eastAsia="zh-CN"/>
              </w:rPr>
              <w:t>、</w:t>
            </w:r>
            <w:r>
              <w:rPr>
                <w:rFonts w:ascii="宋体" w:hAnsi="宋体" w:eastAsia="宋体" w:cs="宋体"/>
                <w:color w:val="auto"/>
                <w:sz w:val="24"/>
                <w:szCs w:val="24"/>
                <w:shd w:val="clear" w:color="auto" w:fill="auto"/>
              </w:rPr>
              <w:t xml:space="preserve">投标人应根据踏勘现场的结果，报价时应根据现场情况及地质资料等内容综合考虑。 </w:t>
            </w:r>
          </w:p>
          <w:p w14:paraId="4B4E04CE">
            <w:pPr>
              <w:widowControl w:val="0"/>
              <w:numPr>
                <w:ilvl w:val="0"/>
                <w:numId w:val="0"/>
              </w:numPr>
              <w:spacing w:line="360" w:lineRule="auto"/>
              <w:jc w:val="both"/>
              <w:rPr>
                <w:rFonts w:ascii="宋体" w:hAnsi="宋体" w:eastAsia="宋体" w:cs="宋体"/>
                <w:color w:val="auto"/>
                <w:sz w:val="24"/>
                <w:szCs w:val="24"/>
                <w:shd w:val="clear" w:color="auto" w:fill="auto"/>
              </w:rPr>
            </w:pPr>
            <w:r>
              <w:rPr>
                <w:rFonts w:hint="eastAsia" w:ascii="宋体" w:hAnsi="宋体" w:cs="宋体"/>
                <w:color w:val="auto"/>
                <w:sz w:val="24"/>
                <w:szCs w:val="24"/>
                <w:shd w:val="clear" w:color="auto" w:fill="auto"/>
                <w:lang w:val="en-US" w:eastAsia="zh-CN"/>
              </w:rPr>
              <w:t>六、</w:t>
            </w:r>
            <w:r>
              <w:rPr>
                <w:rFonts w:ascii="宋体" w:hAnsi="宋体" w:eastAsia="宋体" w:cs="宋体"/>
                <w:color w:val="auto"/>
                <w:sz w:val="24"/>
                <w:szCs w:val="24"/>
                <w:shd w:val="clear" w:color="auto" w:fill="auto"/>
              </w:rPr>
              <w:t>其他：</w:t>
            </w:r>
            <w:bookmarkStart w:id="0" w:name="_GoBack"/>
            <w:bookmarkEnd w:id="0"/>
          </w:p>
          <w:p w14:paraId="0490ED66">
            <w:pPr>
              <w:widowControl w:val="0"/>
              <w:numPr>
                <w:ilvl w:val="0"/>
                <w:numId w:val="0"/>
              </w:numPr>
              <w:spacing w:line="360" w:lineRule="auto"/>
              <w:ind w:firstLine="480" w:firstLineChars="200"/>
              <w:jc w:val="both"/>
              <w:rPr>
                <w:rFonts w:hint="eastAsia" w:ascii="宋体" w:hAnsi="宋体" w:eastAsia="宋体" w:cs="宋体"/>
                <w:color w:val="auto"/>
                <w:sz w:val="24"/>
                <w:szCs w:val="24"/>
                <w:shd w:val="clear" w:color="auto" w:fill="auto"/>
                <w:lang w:val="en-US" w:eastAsia="zh-CN"/>
              </w:rPr>
            </w:pPr>
            <w:r>
              <w:rPr>
                <w:rFonts w:hint="eastAsia" w:ascii="宋体" w:hAnsi="宋体" w:eastAsia="宋体" w:cs="宋体"/>
                <w:color w:val="auto"/>
                <w:sz w:val="24"/>
                <w:szCs w:val="24"/>
                <w:shd w:val="clear" w:color="auto" w:fill="auto"/>
                <w:lang w:val="en-US" w:eastAsia="zh-CN"/>
              </w:rPr>
              <w:t>1、本工程所有砂浆除有特殊说明的除外均应按预拌砂浆考虑；</w:t>
            </w:r>
          </w:p>
          <w:p w14:paraId="03B91E49">
            <w:pPr>
              <w:widowControl w:val="0"/>
              <w:numPr>
                <w:ilvl w:val="0"/>
                <w:numId w:val="0"/>
              </w:numPr>
              <w:spacing w:line="360" w:lineRule="auto"/>
              <w:ind w:firstLine="480" w:firstLineChars="200"/>
              <w:jc w:val="both"/>
              <w:rPr>
                <w:rFonts w:hint="eastAsia" w:ascii="宋体" w:hAnsi="宋体" w:eastAsia="宋体" w:cs="宋体"/>
                <w:color w:val="auto"/>
                <w:sz w:val="24"/>
                <w:szCs w:val="24"/>
                <w:shd w:val="clear" w:color="auto" w:fill="auto"/>
                <w:lang w:val="en-US" w:eastAsia="zh-CN"/>
              </w:rPr>
            </w:pPr>
            <w:r>
              <w:rPr>
                <w:rFonts w:hint="eastAsia" w:ascii="宋体" w:hAnsi="宋体" w:eastAsia="宋体" w:cs="宋体"/>
                <w:color w:val="auto"/>
                <w:sz w:val="24"/>
                <w:szCs w:val="24"/>
                <w:shd w:val="clear" w:color="auto" w:fill="auto"/>
                <w:lang w:val="en-US" w:eastAsia="zh-CN"/>
              </w:rPr>
              <w:t>2、本工程所有混凝土除有特殊说明的除外均应按商品混凝土考虑；</w:t>
            </w:r>
          </w:p>
          <w:p w14:paraId="38D037D3">
            <w:pPr>
              <w:widowControl w:val="0"/>
              <w:numPr>
                <w:ilvl w:val="0"/>
                <w:numId w:val="0"/>
              </w:numPr>
              <w:spacing w:line="360" w:lineRule="auto"/>
              <w:ind w:firstLine="480" w:firstLineChars="200"/>
              <w:jc w:val="both"/>
              <w:rPr>
                <w:rFonts w:hint="eastAsia" w:ascii="宋体" w:hAnsi="宋体" w:eastAsia="宋体" w:cs="宋体"/>
                <w:color w:val="auto"/>
                <w:sz w:val="24"/>
                <w:szCs w:val="24"/>
                <w:shd w:val="clear" w:color="auto" w:fill="auto"/>
                <w:lang w:val="en-US" w:eastAsia="zh-CN"/>
              </w:rPr>
            </w:pPr>
            <w:r>
              <w:rPr>
                <w:rFonts w:hint="eastAsia" w:ascii="宋体" w:hAnsi="宋体" w:eastAsia="宋体" w:cs="宋体"/>
                <w:color w:val="auto"/>
                <w:sz w:val="24"/>
                <w:szCs w:val="24"/>
                <w:shd w:val="clear" w:color="auto" w:fill="auto"/>
                <w:lang w:val="en-US" w:eastAsia="zh-CN"/>
              </w:rPr>
              <w:t>3、因施工图不详或有多种原因、说明的以工程量清单特征描述为准；</w:t>
            </w:r>
          </w:p>
          <w:p w14:paraId="77A62924">
            <w:pPr>
              <w:widowControl w:val="0"/>
              <w:numPr>
                <w:ilvl w:val="0"/>
                <w:numId w:val="0"/>
              </w:numPr>
              <w:spacing w:line="360" w:lineRule="auto"/>
              <w:ind w:firstLine="480" w:firstLineChars="200"/>
              <w:jc w:val="both"/>
              <w:rPr>
                <w:rFonts w:hint="eastAsia" w:ascii="宋体" w:hAnsi="宋体" w:eastAsia="宋体" w:cs="宋体"/>
                <w:color w:val="auto"/>
                <w:sz w:val="24"/>
                <w:szCs w:val="24"/>
                <w:shd w:val="clear" w:color="auto" w:fill="auto"/>
                <w:lang w:val="en-US" w:eastAsia="zh-CN"/>
              </w:rPr>
            </w:pPr>
            <w:r>
              <w:rPr>
                <w:rFonts w:hint="eastAsia" w:ascii="宋体" w:hAnsi="宋体" w:eastAsia="宋体" w:cs="宋体"/>
                <w:color w:val="auto"/>
                <w:sz w:val="24"/>
                <w:szCs w:val="24"/>
                <w:shd w:val="clear" w:color="auto" w:fill="auto"/>
                <w:lang w:val="en-US" w:eastAsia="zh-CN"/>
              </w:rPr>
              <w:t>4、技术措施项目清单中未单列模板项目清单的，模板费用均包含在分部分项工程量清单中；本工程混凝土构件的模板工程量均按接触面计算；</w:t>
            </w:r>
          </w:p>
          <w:p w14:paraId="06D88272">
            <w:pPr>
              <w:widowControl w:val="0"/>
              <w:numPr>
                <w:ilvl w:val="0"/>
                <w:numId w:val="0"/>
              </w:numPr>
              <w:spacing w:line="360" w:lineRule="auto"/>
              <w:ind w:firstLine="480" w:firstLineChars="200"/>
              <w:jc w:val="both"/>
              <w:rPr>
                <w:rFonts w:hint="eastAsia" w:ascii="宋体" w:hAnsi="宋体" w:eastAsia="宋体" w:cs="宋体"/>
                <w:color w:val="auto"/>
                <w:sz w:val="24"/>
                <w:szCs w:val="24"/>
                <w:shd w:val="clear" w:color="auto" w:fill="auto"/>
                <w:lang w:val="en-US" w:eastAsia="zh-CN"/>
              </w:rPr>
            </w:pPr>
            <w:r>
              <w:rPr>
                <w:rFonts w:hint="eastAsia" w:ascii="宋体" w:hAnsi="宋体" w:cs="宋体"/>
                <w:color w:val="auto"/>
                <w:sz w:val="24"/>
                <w:szCs w:val="24"/>
                <w:shd w:val="clear" w:color="auto" w:fill="auto"/>
                <w:lang w:val="en-US" w:eastAsia="zh-CN"/>
              </w:rPr>
              <w:t>5、</w:t>
            </w:r>
            <w:r>
              <w:rPr>
                <w:rFonts w:hint="eastAsia" w:ascii="宋体" w:hAnsi="宋体" w:eastAsia="宋体" w:cs="宋体"/>
                <w:color w:val="auto"/>
                <w:sz w:val="24"/>
                <w:szCs w:val="24"/>
                <w:shd w:val="clear" w:color="auto" w:fill="auto"/>
                <w:lang w:val="en-US" w:eastAsia="zh-CN"/>
              </w:rPr>
              <w:t>经设计回复，安装吊灯吊杆高度为1m；</w:t>
            </w:r>
          </w:p>
          <w:p w14:paraId="6B029A16">
            <w:pPr>
              <w:widowControl w:val="0"/>
              <w:numPr>
                <w:ilvl w:val="0"/>
                <w:numId w:val="0"/>
              </w:numPr>
              <w:spacing w:line="360" w:lineRule="auto"/>
              <w:ind w:firstLine="480" w:firstLineChars="200"/>
              <w:jc w:val="both"/>
              <w:rPr>
                <w:rFonts w:hint="eastAsia" w:ascii="宋体" w:hAnsi="宋体" w:eastAsia="宋体" w:cs="宋体"/>
                <w:color w:val="auto"/>
                <w:sz w:val="24"/>
                <w:szCs w:val="24"/>
                <w:shd w:val="clear" w:color="auto" w:fill="auto"/>
                <w:lang w:val="en-US" w:eastAsia="zh-CN"/>
              </w:rPr>
            </w:pPr>
            <w:r>
              <w:rPr>
                <w:rFonts w:hint="eastAsia" w:ascii="宋体" w:hAnsi="宋体" w:cs="宋体"/>
                <w:color w:val="auto"/>
                <w:sz w:val="24"/>
                <w:szCs w:val="24"/>
                <w:shd w:val="clear" w:color="auto" w:fill="auto"/>
                <w:lang w:val="en-US" w:eastAsia="zh-CN"/>
              </w:rPr>
              <w:t>6、</w:t>
            </w:r>
            <w:r>
              <w:rPr>
                <w:rFonts w:hint="eastAsia" w:ascii="宋体" w:hAnsi="宋体" w:eastAsia="宋体" w:cs="宋体"/>
                <w:color w:val="auto"/>
                <w:sz w:val="24"/>
                <w:szCs w:val="24"/>
                <w:shd w:val="clear" w:color="auto" w:fill="auto"/>
                <w:lang w:val="en-US" w:eastAsia="zh-CN"/>
              </w:rPr>
              <w:t>经设计回复，砖砌材料修改为±0.00以下为混凝土实心砖MU15,±0.00以上修改为混凝土实心砖MU10；</w:t>
            </w:r>
          </w:p>
          <w:p w14:paraId="13807F1B">
            <w:pPr>
              <w:widowControl w:val="0"/>
              <w:numPr>
                <w:ilvl w:val="0"/>
                <w:numId w:val="0"/>
              </w:numPr>
              <w:spacing w:line="360" w:lineRule="auto"/>
              <w:ind w:firstLine="480" w:firstLineChars="200"/>
              <w:jc w:val="both"/>
              <w:rPr>
                <w:rFonts w:hint="eastAsia" w:ascii="宋体" w:hAnsi="宋体" w:eastAsia="宋体" w:cs="宋体"/>
                <w:color w:val="auto"/>
                <w:sz w:val="24"/>
                <w:szCs w:val="24"/>
                <w:shd w:val="clear" w:color="auto" w:fill="auto"/>
                <w:lang w:val="en-US" w:eastAsia="zh-CN"/>
              </w:rPr>
            </w:pPr>
            <w:r>
              <w:rPr>
                <w:rFonts w:hint="eastAsia" w:ascii="宋体" w:hAnsi="宋体" w:cs="宋体"/>
                <w:color w:val="auto"/>
                <w:sz w:val="24"/>
                <w:szCs w:val="24"/>
                <w:shd w:val="clear" w:color="auto" w:fill="auto"/>
                <w:lang w:val="en-US" w:eastAsia="zh-CN"/>
              </w:rPr>
              <w:t>7、</w:t>
            </w:r>
            <w:r>
              <w:rPr>
                <w:rFonts w:hint="eastAsia" w:ascii="宋体" w:hAnsi="宋体" w:eastAsia="宋体" w:cs="宋体"/>
                <w:color w:val="auto"/>
                <w:sz w:val="24"/>
                <w:szCs w:val="24"/>
                <w:shd w:val="clear" w:color="auto" w:fill="auto"/>
                <w:lang w:val="en-US" w:eastAsia="zh-CN"/>
              </w:rPr>
              <w:t>经设计回复，标高1.2米以上墙体更改为：0.5mm厚HV-900型单层单层彩钢板；</w:t>
            </w:r>
          </w:p>
          <w:p w14:paraId="7E4D0116">
            <w:pPr>
              <w:widowControl w:val="0"/>
              <w:numPr>
                <w:ilvl w:val="0"/>
                <w:numId w:val="0"/>
              </w:numPr>
              <w:spacing w:line="360" w:lineRule="auto"/>
              <w:ind w:firstLine="480" w:firstLineChars="200"/>
              <w:jc w:val="both"/>
              <w:rPr>
                <w:rFonts w:hint="eastAsia" w:ascii="宋体" w:hAnsi="宋体" w:eastAsia="宋体" w:cs="宋体"/>
                <w:color w:val="auto"/>
                <w:sz w:val="24"/>
                <w:szCs w:val="24"/>
                <w:shd w:val="clear" w:color="auto" w:fill="auto"/>
                <w:lang w:val="en-US" w:eastAsia="zh-CN"/>
              </w:rPr>
            </w:pPr>
            <w:r>
              <w:rPr>
                <w:rFonts w:hint="eastAsia" w:ascii="宋体" w:hAnsi="宋体" w:cs="宋体"/>
                <w:color w:val="auto"/>
                <w:sz w:val="24"/>
                <w:szCs w:val="24"/>
                <w:shd w:val="clear" w:color="auto" w:fill="auto"/>
                <w:lang w:val="en-US" w:eastAsia="zh-CN"/>
              </w:rPr>
              <w:t>8、</w:t>
            </w:r>
            <w:r>
              <w:rPr>
                <w:rFonts w:hint="eastAsia" w:ascii="宋体" w:hAnsi="宋体" w:eastAsia="宋体" w:cs="宋体"/>
                <w:color w:val="auto"/>
                <w:sz w:val="24"/>
                <w:szCs w:val="24"/>
                <w:shd w:val="clear" w:color="auto" w:fill="auto"/>
                <w:lang w:val="en-US" w:eastAsia="zh-CN"/>
              </w:rPr>
              <w:t>经设计回复，室外雨水管落地窑井不计算在本次预算中；</w:t>
            </w:r>
          </w:p>
          <w:p w14:paraId="6592F6A3">
            <w:pPr>
              <w:widowControl w:val="0"/>
              <w:numPr>
                <w:ilvl w:val="0"/>
                <w:numId w:val="0"/>
              </w:numPr>
              <w:spacing w:line="360" w:lineRule="auto"/>
              <w:ind w:firstLine="480" w:firstLineChars="200"/>
              <w:jc w:val="both"/>
              <w:rPr>
                <w:rFonts w:hint="eastAsia" w:ascii="宋体" w:hAnsi="宋体" w:eastAsia="宋体" w:cs="宋体"/>
                <w:color w:val="auto"/>
                <w:sz w:val="24"/>
                <w:szCs w:val="24"/>
                <w:shd w:val="clear" w:color="auto" w:fill="auto"/>
                <w:lang w:val="en-US" w:eastAsia="zh-CN"/>
              </w:rPr>
            </w:pPr>
            <w:r>
              <w:rPr>
                <w:rFonts w:hint="eastAsia" w:ascii="宋体" w:hAnsi="宋体" w:cs="宋体"/>
                <w:color w:val="auto"/>
                <w:sz w:val="24"/>
                <w:szCs w:val="24"/>
                <w:shd w:val="clear" w:color="auto" w:fill="auto"/>
                <w:lang w:val="en-US" w:eastAsia="zh-CN"/>
              </w:rPr>
              <w:t>9、</w:t>
            </w:r>
            <w:r>
              <w:rPr>
                <w:rFonts w:hint="eastAsia" w:ascii="宋体" w:hAnsi="宋体" w:eastAsia="宋体" w:cs="宋体"/>
                <w:color w:val="auto"/>
                <w:sz w:val="24"/>
                <w:szCs w:val="24"/>
                <w:shd w:val="clear" w:color="auto" w:fill="auto"/>
                <w:lang w:val="en-US" w:eastAsia="zh-CN"/>
              </w:rPr>
              <w:t>经设计回复，墙体防潮层更改为-0.06m处设20厚1:2.5水泥砂浆防潮层，内掺5%防水剂；</w:t>
            </w:r>
          </w:p>
          <w:p w14:paraId="38C60BEC">
            <w:pPr>
              <w:widowControl w:val="0"/>
              <w:numPr>
                <w:ilvl w:val="0"/>
                <w:numId w:val="0"/>
              </w:numPr>
              <w:spacing w:line="360" w:lineRule="auto"/>
              <w:ind w:firstLine="480" w:firstLineChars="200"/>
              <w:jc w:val="both"/>
              <w:rPr>
                <w:rFonts w:hint="eastAsia" w:ascii="宋体" w:hAnsi="宋体" w:cs="宋体"/>
                <w:color w:val="auto"/>
                <w:sz w:val="24"/>
                <w:szCs w:val="24"/>
                <w:shd w:val="clear" w:color="auto" w:fill="auto"/>
                <w:lang w:val="en-US" w:eastAsia="zh-CN"/>
              </w:rPr>
            </w:pPr>
            <w:r>
              <w:rPr>
                <w:rFonts w:hint="eastAsia" w:ascii="宋体" w:hAnsi="宋体" w:cs="宋体"/>
                <w:color w:val="auto"/>
                <w:sz w:val="24"/>
                <w:szCs w:val="24"/>
                <w:shd w:val="clear" w:color="auto" w:fill="auto"/>
                <w:lang w:val="en-US" w:eastAsia="zh-CN"/>
              </w:rPr>
              <w:t>10、</w:t>
            </w:r>
            <w:r>
              <w:rPr>
                <w:rFonts w:hint="eastAsia" w:ascii="宋体" w:hAnsi="宋体" w:eastAsia="宋体" w:cs="宋体"/>
                <w:color w:val="auto"/>
                <w:sz w:val="24"/>
                <w:szCs w:val="24"/>
                <w:shd w:val="clear" w:color="auto" w:fill="auto"/>
                <w:lang w:val="en-US" w:eastAsia="zh-CN"/>
              </w:rPr>
              <w:t>经设计回复，</w:t>
            </w:r>
            <w:r>
              <w:rPr>
                <w:rFonts w:hint="eastAsia" w:ascii="宋体" w:hAnsi="宋体" w:cs="宋体"/>
                <w:color w:val="auto"/>
                <w:sz w:val="24"/>
                <w:szCs w:val="24"/>
                <w:shd w:val="clear" w:color="auto" w:fill="auto"/>
                <w:lang w:val="en-US" w:eastAsia="zh-CN"/>
              </w:rPr>
              <w:t>钢檩条未标注按边跨LT-1,中跨LT-2</w:t>
            </w:r>
            <w:r>
              <w:rPr>
                <w:rFonts w:hint="eastAsia" w:ascii="宋体" w:hAnsi="宋体" w:eastAsia="宋体" w:cs="宋体"/>
                <w:color w:val="auto"/>
                <w:sz w:val="24"/>
                <w:szCs w:val="24"/>
                <w:shd w:val="clear" w:color="auto" w:fill="auto"/>
                <w:lang w:val="en-US" w:eastAsia="zh-CN"/>
              </w:rPr>
              <w:t>；</w:t>
            </w:r>
          </w:p>
          <w:p w14:paraId="5728306C">
            <w:pPr>
              <w:widowControl w:val="0"/>
              <w:numPr>
                <w:ilvl w:val="0"/>
                <w:numId w:val="0"/>
              </w:numPr>
              <w:spacing w:line="360" w:lineRule="auto"/>
              <w:ind w:firstLine="480" w:firstLineChars="200"/>
              <w:jc w:val="both"/>
              <w:rPr>
                <w:rFonts w:hint="eastAsia" w:ascii="宋体" w:hAnsi="宋体" w:eastAsia="宋体" w:cs="宋体"/>
                <w:color w:val="auto"/>
                <w:sz w:val="24"/>
                <w:szCs w:val="24"/>
                <w:shd w:val="clear" w:color="auto" w:fill="auto"/>
                <w:lang w:val="en-US" w:eastAsia="zh-CN"/>
              </w:rPr>
            </w:pPr>
            <w:r>
              <w:rPr>
                <w:rFonts w:hint="eastAsia" w:ascii="宋体" w:hAnsi="宋体" w:cs="宋体"/>
                <w:color w:val="auto"/>
                <w:sz w:val="24"/>
                <w:szCs w:val="24"/>
                <w:shd w:val="clear" w:color="auto" w:fill="auto"/>
                <w:lang w:val="en-US" w:eastAsia="zh-CN"/>
              </w:rPr>
              <w:t>11、</w:t>
            </w:r>
            <w:r>
              <w:rPr>
                <w:rFonts w:hint="eastAsia" w:ascii="宋体" w:hAnsi="宋体" w:eastAsia="宋体" w:cs="宋体"/>
                <w:color w:val="auto"/>
                <w:sz w:val="24"/>
                <w:szCs w:val="24"/>
                <w:shd w:val="clear" w:color="auto" w:fill="auto"/>
                <w:lang w:val="en-US" w:eastAsia="zh-CN"/>
              </w:rPr>
              <w:t>经设计回复，</w:t>
            </w:r>
            <w:r>
              <w:rPr>
                <w:rFonts w:hint="eastAsia" w:ascii="宋体" w:hAnsi="宋体" w:cs="宋体"/>
                <w:color w:val="auto"/>
                <w:sz w:val="24"/>
                <w:szCs w:val="24"/>
                <w:shd w:val="clear" w:color="auto" w:fill="auto"/>
                <w:lang w:val="en-US" w:eastAsia="zh-CN"/>
              </w:rPr>
              <w:t>屋面天沟材料采用3厚304不锈钢板</w:t>
            </w:r>
            <w:r>
              <w:rPr>
                <w:rFonts w:hint="eastAsia" w:ascii="宋体" w:hAnsi="宋体" w:eastAsia="宋体" w:cs="宋体"/>
                <w:color w:val="auto"/>
                <w:sz w:val="24"/>
                <w:szCs w:val="24"/>
                <w:shd w:val="clear" w:color="auto" w:fill="auto"/>
                <w:lang w:val="en-US" w:eastAsia="zh-CN"/>
              </w:rPr>
              <w:t>；</w:t>
            </w:r>
          </w:p>
          <w:p w14:paraId="7E4F9D43">
            <w:pPr>
              <w:widowControl w:val="0"/>
              <w:numPr>
                <w:ilvl w:val="0"/>
                <w:numId w:val="0"/>
              </w:numPr>
              <w:spacing w:line="360" w:lineRule="auto"/>
              <w:ind w:firstLine="480" w:firstLineChars="200"/>
              <w:jc w:val="both"/>
              <w:rPr>
                <w:rFonts w:hint="eastAsia" w:ascii="宋体" w:hAnsi="宋体" w:eastAsia="宋体" w:cs="宋体"/>
                <w:color w:val="auto"/>
                <w:sz w:val="24"/>
                <w:szCs w:val="24"/>
                <w:shd w:val="clear" w:color="auto" w:fill="auto"/>
                <w:lang w:val="en-US" w:eastAsia="zh-CN"/>
              </w:rPr>
            </w:pPr>
            <w:r>
              <w:rPr>
                <w:rFonts w:hint="eastAsia" w:ascii="宋体" w:hAnsi="宋体" w:cs="宋体"/>
                <w:color w:val="auto"/>
                <w:sz w:val="24"/>
                <w:szCs w:val="24"/>
                <w:shd w:val="clear" w:color="auto" w:fill="auto"/>
                <w:lang w:val="en-US" w:eastAsia="zh-CN"/>
              </w:rPr>
              <w:t>12、</w:t>
            </w:r>
            <w:r>
              <w:rPr>
                <w:rFonts w:hint="eastAsia" w:ascii="宋体" w:hAnsi="宋体" w:eastAsia="宋体" w:cs="宋体"/>
                <w:color w:val="auto"/>
                <w:sz w:val="24"/>
                <w:szCs w:val="24"/>
                <w:shd w:val="clear" w:color="auto" w:fill="auto"/>
                <w:lang w:val="en-US" w:eastAsia="zh-CN"/>
              </w:rPr>
              <w:t>经设计回复，</w:t>
            </w:r>
            <w:r>
              <w:rPr>
                <w:rFonts w:hint="eastAsia" w:ascii="宋体" w:hAnsi="宋体" w:cs="宋体"/>
                <w:color w:val="auto"/>
                <w:sz w:val="24"/>
                <w:szCs w:val="24"/>
                <w:shd w:val="clear" w:color="auto" w:fill="auto"/>
                <w:lang w:val="en-US" w:eastAsia="zh-CN"/>
              </w:rPr>
              <w:t>屋面泛水板和屋脊板采用1厚镀锌钢板</w:t>
            </w:r>
            <w:r>
              <w:rPr>
                <w:rFonts w:hint="eastAsia" w:ascii="宋体" w:hAnsi="宋体" w:eastAsia="宋体" w:cs="宋体"/>
                <w:color w:val="auto"/>
                <w:sz w:val="24"/>
                <w:szCs w:val="24"/>
                <w:shd w:val="clear" w:color="auto" w:fill="auto"/>
                <w:lang w:val="en-US" w:eastAsia="zh-CN"/>
              </w:rPr>
              <w:t>；</w:t>
            </w:r>
          </w:p>
          <w:p w14:paraId="066587D1">
            <w:pPr>
              <w:widowControl w:val="0"/>
              <w:numPr>
                <w:ilvl w:val="0"/>
                <w:numId w:val="0"/>
              </w:numPr>
              <w:spacing w:line="360" w:lineRule="auto"/>
              <w:ind w:firstLine="480" w:firstLineChars="200"/>
              <w:jc w:val="both"/>
              <w:rPr>
                <w:rFonts w:hint="eastAsia" w:ascii="宋体" w:hAnsi="宋体" w:eastAsia="宋体" w:cs="宋体"/>
                <w:color w:val="auto"/>
                <w:sz w:val="24"/>
                <w:szCs w:val="24"/>
                <w:shd w:val="clear" w:color="auto" w:fill="auto"/>
                <w:lang w:val="en-US" w:eastAsia="zh-CN"/>
              </w:rPr>
            </w:pPr>
            <w:r>
              <w:rPr>
                <w:rFonts w:hint="eastAsia" w:ascii="宋体" w:hAnsi="宋体" w:cs="宋体"/>
                <w:color w:val="auto"/>
                <w:sz w:val="24"/>
                <w:szCs w:val="24"/>
                <w:shd w:val="clear" w:color="auto" w:fill="auto"/>
                <w:lang w:val="en-US" w:eastAsia="zh-CN"/>
              </w:rPr>
              <w:t>13、安装中入户线按20米/处计入</w:t>
            </w:r>
            <w:r>
              <w:rPr>
                <w:rFonts w:hint="eastAsia" w:ascii="宋体" w:hAnsi="宋体" w:eastAsia="宋体" w:cs="宋体"/>
                <w:color w:val="auto"/>
                <w:sz w:val="24"/>
                <w:szCs w:val="24"/>
                <w:shd w:val="clear" w:color="auto" w:fill="auto"/>
                <w:lang w:val="en-US" w:eastAsia="zh-CN"/>
              </w:rPr>
              <w:t>；</w:t>
            </w:r>
          </w:p>
          <w:p w14:paraId="3635BEA4">
            <w:pPr>
              <w:widowControl w:val="0"/>
              <w:numPr>
                <w:ilvl w:val="0"/>
                <w:numId w:val="0"/>
              </w:numPr>
              <w:spacing w:line="360" w:lineRule="auto"/>
              <w:ind w:firstLine="480" w:firstLineChars="200"/>
              <w:jc w:val="both"/>
              <w:rPr>
                <w:rFonts w:hint="eastAsia" w:ascii="宋体" w:hAnsi="宋体" w:eastAsia="宋体" w:cs="宋体"/>
                <w:color w:val="auto"/>
                <w:sz w:val="24"/>
                <w:szCs w:val="24"/>
                <w:shd w:val="clear" w:color="auto" w:fill="auto"/>
                <w:lang w:val="en-US" w:eastAsia="zh-CN"/>
              </w:rPr>
            </w:pPr>
          </w:p>
          <w:p w14:paraId="5CDA20D8">
            <w:pPr>
              <w:widowControl w:val="0"/>
              <w:numPr>
                <w:ilvl w:val="0"/>
                <w:numId w:val="0"/>
              </w:numPr>
              <w:spacing w:line="360" w:lineRule="auto"/>
              <w:jc w:val="both"/>
              <w:rPr>
                <w:rFonts w:hint="default" w:ascii="宋体" w:hAnsi="宋体" w:eastAsia="宋体" w:cs="宋体"/>
                <w:color w:val="auto"/>
                <w:sz w:val="24"/>
                <w:szCs w:val="24"/>
                <w:shd w:val="clear" w:color="auto" w:fill="auto"/>
                <w:lang w:val="en-US" w:eastAsia="zh-CN"/>
              </w:rPr>
            </w:pPr>
          </w:p>
          <w:p w14:paraId="15EC59FC">
            <w:pPr>
              <w:widowControl w:val="0"/>
              <w:numPr>
                <w:ilvl w:val="0"/>
                <w:numId w:val="0"/>
              </w:numPr>
              <w:spacing w:line="360" w:lineRule="auto"/>
              <w:ind w:firstLine="480" w:firstLineChars="200"/>
              <w:jc w:val="both"/>
              <w:rPr>
                <w:rFonts w:ascii="宋体" w:hAnsi="宋体" w:eastAsia="宋体" w:cs="宋体"/>
                <w:color w:val="auto"/>
                <w:sz w:val="24"/>
                <w:szCs w:val="24"/>
                <w:shd w:val="clear" w:color="auto" w:fill="auto"/>
              </w:rPr>
            </w:pPr>
          </w:p>
          <w:p w14:paraId="7FC07089">
            <w:pPr>
              <w:widowControl w:val="0"/>
              <w:numPr>
                <w:ilvl w:val="0"/>
                <w:numId w:val="0"/>
              </w:numPr>
              <w:spacing w:line="360" w:lineRule="auto"/>
              <w:ind w:left="120" w:leftChars="0"/>
              <w:jc w:val="both"/>
              <w:rPr>
                <w:rFonts w:ascii="宋体" w:hAnsi="宋体" w:eastAsia="宋体" w:cs="宋体"/>
                <w:color w:val="auto"/>
                <w:sz w:val="24"/>
                <w:szCs w:val="24"/>
                <w:shd w:val="clear" w:color="auto" w:fill="auto"/>
              </w:rPr>
            </w:pPr>
          </w:p>
          <w:p w14:paraId="7C7A012D">
            <w:pPr>
              <w:widowControl w:val="0"/>
              <w:numPr>
                <w:ilvl w:val="0"/>
                <w:numId w:val="0"/>
              </w:numPr>
              <w:spacing w:line="360" w:lineRule="auto"/>
              <w:ind w:left="120" w:leftChars="0"/>
              <w:jc w:val="both"/>
              <w:rPr>
                <w:rFonts w:ascii="宋体" w:hAnsi="宋体" w:eastAsia="宋体" w:cs="宋体"/>
                <w:color w:val="auto"/>
                <w:sz w:val="24"/>
                <w:szCs w:val="24"/>
                <w:shd w:val="clear" w:color="auto" w:fill="auto"/>
              </w:rPr>
            </w:pPr>
          </w:p>
          <w:p w14:paraId="17894781">
            <w:pPr>
              <w:widowControl w:val="0"/>
              <w:numPr>
                <w:ilvl w:val="0"/>
                <w:numId w:val="0"/>
              </w:numPr>
              <w:spacing w:line="360" w:lineRule="auto"/>
              <w:ind w:left="120" w:leftChars="0"/>
              <w:jc w:val="both"/>
              <w:rPr>
                <w:rFonts w:ascii="宋体" w:hAnsi="宋体" w:eastAsia="宋体" w:cs="宋体"/>
                <w:color w:val="auto"/>
                <w:sz w:val="24"/>
                <w:szCs w:val="24"/>
                <w:shd w:val="clear" w:color="auto" w:fill="auto"/>
              </w:rPr>
            </w:pPr>
          </w:p>
          <w:p w14:paraId="0FA33591">
            <w:pPr>
              <w:widowControl w:val="0"/>
              <w:numPr>
                <w:ilvl w:val="0"/>
                <w:numId w:val="0"/>
              </w:numPr>
              <w:spacing w:line="360" w:lineRule="auto"/>
              <w:ind w:left="120" w:leftChars="0"/>
              <w:jc w:val="both"/>
              <w:rPr>
                <w:rFonts w:ascii="宋体" w:hAnsi="宋体" w:eastAsia="宋体" w:cs="宋体"/>
                <w:color w:val="auto"/>
                <w:sz w:val="24"/>
                <w:szCs w:val="24"/>
                <w:shd w:val="clear" w:color="auto" w:fill="auto"/>
              </w:rPr>
            </w:pPr>
          </w:p>
          <w:p w14:paraId="58B55745">
            <w:pPr>
              <w:widowControl w:val="0"/>
              <w:numPr>
                <w:ilvl w:val="0"/>
                <w:numId w:val="0"/>
              </w:numPr>
              <w:spacing w:line="360" w:lineRule="auto"/>
              <w:ind w:left="120" w:leftChars="0"/>
              <w:jc w:val="both"/>
              <w:rPr>
                <w:rFonts w:ascii="宋体" w:hAnsi="宋体" w:eastAsia="宋体" w:cs="宋体"/>
                <w:color w:val="auto"/>
                <w:sz w:val="24"/>
                <w:szCs w:val="24"/>
                <w:shd w:val="clear" w:color="auto" w:fill="auto"/>
              </w:rPr>
            </w:pPr>
          </w:p>
          <w:p w14:paraId="27A96A50">
            <w:pPr>
              <w:widowControl w:val="0"/>
              <w:numPr>
                <w:ilvl w:val="0"/>
                <w:numId w:val="0"/>
              </w:numPr>
              <w:spacing w:line="360" w:lineRule="auto"/>
              <w:ind w:left="120" w:leftChars="0"/>
              <w:jc w:val="both"/>
              <w:rPr>
                <w:rFonts w:ascii="宋体" w:hAnsi="宋体" w:eastAsia="宋体" w:cs="宋体"/>
                <w:color w:val="auto"/>
                <w:sz w:val="24"/>
                <w:szCs w:val="24"/>
                <w:shd w:val="clear" w:color="auto" w:fill="auto"/>
              </w:rPr>
            </w:pPr>
          </w:p>
          <w:p w14:paraId="6988AAC3">
            <w:pPr>
              <w:widowControl w:val="0"/>
              <w:numPr>
                <w:ilvl w:val="0"/>
                <w:numId w:val="0"/>
              </w:numPr>
              <w:spacing w:line="360" w:lineRule="auto"/>
              <w:ind w:left="120" w:leftChars="0"/>
              <w:jc w:val="both"/>
              <w:rPr>
                <w:rFonts w:ascii="宋体" w:hAnsi="宋体" w:eastAsia="宋体" w:cs="宋体"/>
                <w:color w:val="auto"/>
                <w:sz w:val="24"/>
                <w:szCs w:val="24"/>
                <w:shd w:val="clear" w:color="auto" w:fill="auto"/>
              </w:rPr>
            </w:pPr>
          </w:p>
          <w:p w14:paraId="2165B721">
            <w:pPr>
              <w:widowControl w:val="0"/>
              <w:numPr>
                <w:ilvl w:val="0"/>
                <w:numId w:val="0"/>
              </w:numPr>
              <w:spacing w:line="360" w:lineRule="auto"/>
              <w:ind w:left="120" w:leftChars="0"/>
              <w:jc w:val="both"/>
              <w:rPr>
                <w:rFonts w:ascii="宋体" w:hAnsi="宋体" w:eastAsia="宋体" w:cs="宋体"/>
                <w:color w:val="auto"/>
                <w:sz w:val="24"/>
                <w:szCs w:val="24"/>
                <w:shd w:val="clear" w:color="auto" w:fill="auto"/>
              </w:rPr>
            </w:pPr>
          </w:p>
          <w:p w14:paraId="279E2BFE">
            <w:pPr>
              <w:widowControl w:val="0"/>
              <w:numPr>
                <w:ilvl w:val="0"/>
                <w:numId w:val="0"/>
              </w:numPr>
              <w:spacing w:line="360" w:lineRule="auto"/>
              <w:ind w:left="120" w:leftChars="0"/>
              <w:jc w:val="both"/>
              <w:rPr>
                <w:rFonts w:ascii="宋体" w:hAnsi="宋体" w:eastAsia="宋体" w:cs="宋体"/>
                <w:color w:val="auto"/>
                <w:sz w:val="24"/>
                <w:szCs w:val="24"/>
                <w:shd w:val="clear" w:color="auto" w:fill="auto"/>
              </w:rPr>
            </w:pPr>
          </w:p>
          <w:p w14:paraId="2D73A8CB">
            <w:pPr>
              <w:widowControl w:val="0"/>
              <w:numPr>
                <w:ilvl w:val="0"/>
                <w:numId w:val="0"/>
              </w:numPr>
              <w:spacing w:line="360" w:lineRule="auto"/>
              <w:ind w:left="120" w:leftChars="0"/>
              <w:jc w:val="both"/>
              <w:rPr>
                <w:rFonts w:ascii="宋体" w:hAnsi="宋体" w:eastAsia="宋体" w:cs="宋体"/>
                <w:color w:val="auto"/>
                <w:sz w:val="24"/>
                <w:szCs w:val="24"/>
                <w:shd w:val="clear" w:color="auto" w:fill="auto"/>
              </w:rPr>
            </w:pPr>
          </w:p>
          <w:p w14:paraId="5AA6A0CC">
            <w:pPr>
              <w:widowControl w:val="0"/>
              <w:numPr>
                <w:ilvl w:val="0"/>
                <w:numId w:val="0"/>
              </w:numPr>
              <w:spacing w:line="360" w:lineRule="auto"/>
              <w:ind w:left="120" w:leftChars="0"/>
              <w:jc w:val="both"/>
              <w:rPr>
                <w:rFonts w:ascii="宋体" w:hAnsi="宋体" w:eastAsia="宋体" w:cs="宋体"/>
                <w:color w:val="auto"/>
                <w:sz w:val="24"/>
                <w:szCs w:val="24"/>
                <w:shd w:val="clear" w:color="auto" w:fill="auto"/>
              </w:rPr>
            </w:pPr>
          </w:p>
          <w:p w14:paraId="70825AA2">
            <w:pPr>
              <w:widowControl w:val="0"/>
              <w:numPr>
                <w:ilvl w:val="0"/>
                <w:numId w:val="0"/>
              </w:numPr>
              <w:spacing w:line="360" w:lineRule="auto"/>
              <w:ind w:left="120" w:leftChars="0"/>
              <w:jc w:val="both"/>
              <w:rPr>
                <w:rFonts w:ascii="宋体" w:hAnsi="宋体" w:eastAsia="宋体" w:cs="宋体"/>
                <w:color w:val="auto"/>
                <w:sz w:val="24"/>
                <w:szCs w:val="24"/>
                <w:shd w:val="clear" w:color="auto" w:fill="auto"/>
              </w:rPr>
            </w:pPr>
          </w:p>
          <w:p w14:paraId="0A62AD29">
            <w:pPr>
              <w:widowControl w:val="0"/>
              <w:numPr>
                <w:ilvl w:val="0"/>
                <w:numId w:val="0"/>
              </w:numPr>
              <w:spacing w:line="360" w:lineRule="auto"/>
              <w:ind w:left="120" w:leftChars="0"/>
              <w:jc w:val="both"/>
              <w:rPr>
                <w:rFonts w:ascii="宋体" w:hAnsi="宋体" w:eastAsia="宋体" w:cs="宋体"/>
                <w:color w:val="auto"/>
                <w:sz w:val="24"/>
                <w:szCs w:val="24"/>
                <w:shd w:val="clear" w:color="auto" w:fill="auto"/>
              </w:rPr>
            </w:pPr>
          </w:p>
          <w:p w14:paraId="74C05F7E">
            <w:pPr>
              <w:widowControl w:val="0"/>
              <w:numPr>
                <w:ilvl w:val="0"/>
                <w:numId w:val="0"/>
              </w:numPr>
              <w:spacing w:line="360" w:lineRule="auto"/>
              <w:jc w:val="both"/>
              <w:rPr>
                <w:rFonts w:ascii="宋体" w:hAnsi="宋体" w:eastAsia="宋体" w:cs="宋体"/>
                <w:color w:val="auto"/>
                <w:sz w:val="24"/>
                <w:szCs w:val="24"/>
                <w:shd w:val="clear" w:color="auto" w:fill="auto"/>
              </w:rPr>
            </w:pPr>
          </w:p>
          <w:p w14:paraId="56AB7582">
            <w:pPr>
              <w:widowControl w:val="0"/>
              <w:numPr>
                <w:ilvl w:val="0"/>
                <w:numId w:val="0"/>
              </w:numPr>
              <w:spacing w:line="360" w:lineRule="auto"/>
              <w:ind w:firstLine="4800" w:firstLineChars="2000"/>
              <w:jc w:val="both"/>
              <w:rPr>
                <w:rFonts w:ascii="宋体" w:hAnsi="宋体" w:eastAsia="宋体" w:cs="宋体"/>
                <w:color w:val="auto"/>
                <w:sz w:val="24"/>
                <w:szCs w:val="24"/>
                <w:shd w:val="clear" w:color="auto" w:fill="auto"/>
              </w:rPr>
            </w:pPr>
            <w:r>
              <w:rPr>
                <w:rFonts w:ascii="宋体" w:hAnsi="宋体" w:eastAsia="宋体" w:cs="宋体"/>
                <w:color w:val="auto"/>
                <w:sz w:val="24"/>
                <w:szCs w:val="24"/>
                <w:shd w:val="clear" w:color="auto" w:fill="auto"/>
              </w:rPr>
              <w:t xml:space="preserve">浙江豪圣建设项目管理有限公司 </w:t>
            </w:r>
          </w:p>
          <w:p w14:paraId="6862EE1F">
            <w:pPr>
              <w:widowControl w:val="0"/>
              <w:numPr>
                <w:ilvl w:val="0"/>
                <w:numId w:val="0"/>
              </w:numPr>
              <w:spacing w:line="360" w:lineRule="auto"/>
              <w:ind w:left="120" w:leftChars="0" w:firstLine="6240" w:firstLineChars="2600"/>
              <w:jc w:val="both"/>
              <w:rPr>
                <w:rFonts w:hint="default" w:ascii="宋体" w:hAnsi="宋体"/>
                <w:color w:val="auto"/>
                <w:szCs w:val="21"/>
                <w:shd w:val="clear" w:color="auto" w:fill="auto"/>
                <w:lang w:val="en-US"/>
              </w:rPr>
            </w:pPr>
            <w:r>
              <w:rPr>
                <w:rFonts w:hint="eastAsia" w:ascii="宋体" w:hAnsi="宋体" w:cs="宋体"/>
                <w:color w:val="auto"/>
                <w:sz w:val="24"/>
                <w:szCs w:val="24"/>
                <w:shd w:val="clear" w:color="auto" w:fill="auto"/>
                <w:lang w:val="en-US" w:eastAsia="zh-CN"/>
              </w:rPr>
              <w:t>2026</w:t>
            </w:r>
            <w:r>
              <w:rPr>
                <w:rFonts w:ascii="宋体" w:hAnsi="宋体" w:eastAsia="宋体" w:cs="宋体"/>
                <w:color w:val="auto"/>
                <w:sz w:val="24"/>
                <w:szCs w:val="24"/>
                <w:shd w:val="clear" w:color="auto" w:fill="auto"/>
              </w:rPr>
              <w:t>年</w:t>
            </w:r>
            <w:r>
              <w:rPr>
                <w:rFonts w:hint="eastAsia" w:ascii="宋体" w:hAnsi="宋体" w:cs="宋体"/>
                <w:color w:val="auto"/>
                <w:sz w:val="24"/>
                <w:szCs w:val="24"/>
                <w:shd w:val="clear" w:color="auto" w:fill="auto"/>
                <w:lang w:val="en-US" w:eastAsia="zh-CN"/>
              </w:rPr>
              <w:t>3</w:t>
            </w:r>
            <w:r>
              <w:rPr>
                <w:rFonts w:ascii="宋体" w:hAnsi="宋体" w:eastAsia="宋体" w:cs="宋体"/>
                <w:color w:val="auto"/>
                <w:sz w:val="24"/>
                <w:szCs w:val="24"/>
                <w:shd w:val="clear" w:color="auto" w:fill="auto"/>
              </w:rPr>
              <w:t>月</w:t>
            </w:r>
            <w:r>
              <w:rPr>
                <w:rFonts w:hint="eastAsia" w:ascii="宋体" w:hAnsi="宋体" w:cs="宋体"/>
                <w:color w:val="auto"/>
                <w:sz w:val="24"/>
                <w:szCs w:val="24"/>
                <w:shd w:val="clear" w:color="auto" w:fill="auto"/>
                <w:lang w:val="en-US" w:eastAsia="zh-CN"/>
              </w:rPr>
              <w:t>13日</w:t>
            </w:r>
          </w:p>
          <w:p w14:paraId="0287700F">
            <w:pPr>
              <w:widowControl w:val="0"/>
              <w:numPr>
                <w:ilvl w:val="0"/>
                <w:numId w:val="0"/>
              </w:numPr>
              <w:spacing w:line="360" w:lineRule="auto"/>
              <w:jc w:val="both"/>
              <w:rPr>
                <w:rFonts w:hint="eastAsia" w:ascii="宋体" w:hAnsi="宋体"/>
                <w:color w:val="auto"/>
                <w:szCs w:val="21"/>
                <w:shd w:val="clear" w:color="auto" w:fill="auto"/>
              </w:rPr>
            </w:pPr>
          </w:p>
          <w:p w14:paraId="305E0A9C">
            <w:pPr>
              <w:widowControl w:val="0"/>
              <w:numPr>
                <w:ilvl w:val="0"/>
                <w:numId w:val="0"/>
              </w:numPr>
              <w:spacing w:line="360" w:lineRule="auto"/>
              <w:jc w:val="both"/>
              <w:rPr>
                <w:rFonts w:hint="eastAsia" w:ascii="宋体" w:hAnsi="宋体"/>
                <w:color w:val="auto"/>
                <w:szCs w:val="21"/>
                <w:shd w:val="clear" w:color="auto" w:fill="auto"/>
              </w:rPr>
            </w:pPr>
          </w:p>
          <w:p w14:paraId="48F72712">
            <w:pPr>
              <w:widowControl w:val="0"/>
              <w:numPr>
                <w:ilvl w:val="0"/>
                <w:numId w:val="0"/>
              </w:numPr>
              <w:spacing w:line="360" w:lineRule="auto"/>
              <w:jc w:val="both"/>
              <w:rPr>
                <w:rFonts w:hint="eastAsia" w:ascii="宋体" w:hAnsi="宋体"/>
                <w:color w:val="auto"/>
                <w:szCs w:val="21"/>
                <w:shd w:val="clear" w:color="auto" w:fill="auto"/>
              </w:rPr>
            </w:pPr>
          </w:p>
        </w:tc>
      </w:tr>
    </w:tbl>
    <w:p w14:paraId="2EA30A5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0CBD0A"/>
    <w:multiLevelType w:val="singleLevel"/>
    <w:tmpl w:val="D80CBD0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941436"/>
    <w:rsid w:val="1A9414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hint="eastAsia" w:ascii="宋体" w:hAnsi="宋体"/>
      <w:color w:val="000000"/>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2026-03-20T01:19:00Z</dcterms:created>
  <dc:creator>别离</dc:creator>
  <cp:lastModifiedBy>别离</cp:lastModifiedBy>
  <dcterms:modified xsi:type="dcterms:W3CDTF">2026-03-20T01:20:04Z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E3CA62D1F3F640C4B03DB54A96CB7DE2_11</vt:lpwstr>
  </property>
  <property fmtid="{D5CDD505-2E9C-101B-9397-08002B2CF9AE}" pid="4" name="KSOTemplateDocerSaveRecord">
    <vt:lpwstr>eyJoZGlkIjoiYWYyYzg4MjI3MTQxNzZiMzY1NGIxMjYzMDllODE3MzAiLCJ1c2VySWQiOiI0NDU5MzY1ODUifQ==</vt:lpwstr>
  </property>
</Properties>
</file>