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宋体" w:hAnsi="宋体" w:eastAsia="宋体" w:cs="宋体"/>
          <w:b/>
        </w:rPr>
      </w:pPr>
      <w:r>
        <w:rPr>
          <w:rFonts w:hint="eastAsia" w:ascii="宋体" w:hAnsi="宋体" w:eastAsia="宋体" w:cs="宋体"/>
          <w:b/>
        </w:rPr>
        <w:t>合同条款及格式</w:t>
      </w:r>
    </w:p>
    <w:p>
      <w:pPr>
        <w:pStyle w:val="17"/>
        <w:kinsoku w:val="0"/>
        <w:ind w:left="0"/>
        <w:rPr>
          <w:rFonts w:hint="eastAsia" w:ascii="宋体" w:hAnsi="宋体" w:eastAsia="宋体" w:cs="宋体"/>
          <w:b/>
          <w:bCs/>
          <w:sz w:val="20"/>
          <w:szCs w:val="20"/>
        </w:rPr>
      </w:pPr>
      <w:bookmarkStart w:id="0" w:name="bookmark180"/>
      <w:bookmarkEnd w:id="0"/>
    </w:p>
    <w:p>
      <w:pPr>
        <w:jc w:val="left"/>
        <w:rPr>
          <w:rFonts w:ascii="Times New Roman" w:hAnsi="Times New Roman" w:eastAsia="仿宋_GB2312"/>
          <w:bCs/>
          <w:color w:val="auto"/>
          <w:sz w:val="32"/>
          <w:szCs w:val="32"/>
        </w:rPr>
      </w:pPr>
    </w:p>
    <w:p>
      <w:pPr>
        <w:jc w:val="left"/>
        <w:rPr>
          <w:rFonts w:ascii="Times New Roman" w:hAnsi="Times New Roman" w:eastAsia="仿宋_GB2312"/>
          <w:bCs/>
          <w:color w:val="auto"/>
          <w:sz w:val="32"/>
          <w:szCs w:val="32"/>
        </w:rPr>
      </w:pPr>
      <w:r>
        <w:rPr>
          <w:rFonts w:ascii="Times New Roman" w:hAnsi="Times New Roman" w:eastAsia="仿宋_GB2312"/>
          <w:bCs/>
          <w:color w:val="auto"/>
          <w:sz w:val="32"/>
          <w:szCs w:val="32"/>
        </w:rPr>
        <w:t>（GF—201</w:t>
      </w:r>
      <w:r>
        <w:rPr>
          <w:rFonts w:hint="eastAsia" w:ascii="Times New Roman" w:hAnsi="Times New Roman" w:eastAsia="仿宋_GB2312"/>
          <w:bCs/>
          <w:color w:val="auto"/>
          <w:sz w:val="32"/>
          <w:szCs w:val="32"/>
        </w:rPr>
        <w:t>7</w:t>
      </w:r>
      <w:r>
        <w:rPr>
          <w:rFonts w:ascii="Times New Roman" w:hAnsi="Times New Roman" w:eastAsia="仿宋_GB2312"/>
          <w:bCs/>
          <w:color w:val="auto"/>
          <w:sz w:val="32"/>
          <w:szCs w:val="32"/>
        </w:rPr>
        <w:t>—</w:t>
      </w:r>
      <w:r>
        <w:rPr>
          <w:rFonts w:hint="eastAsia" w:ascii="Times New Roman" w:hAnsi="Times New Roman" w:eastAsia="仿宋_GB2312"/>
          <w:bCs/>
          <w:color w:val="auto"/>
          <w:sz w:val="32"/>
          <w:szCs w:val="32"/>
        </w:rPr>
        <w:t>0201）</w:t>
      </w:r>
    </w:p>
    <w:p>
      <w:pPr>
        <w:jc w:val="center"/>
        <w:rPr>
          <w:rFonts w:ascii="Times New Roman" w:hAnsi="Times New Roman" w:eastAsia="华文中宋"/>
          <w:b/>
          <w:color w:val="auto"/>
          <w:sz w:val="52"/>
          <w:szCs w:val="52"/>
        </w:rPr>
      </w:pPr>
    </w:p>
    <w:p>
      <w:pPr>
        <w:jc w:val="center"/>
        <w:rPr>
          <w:rFonts w:ascii="Times New Roman" w:hAnsi="Times New Roman" w:eastAsia="华文中宋"/>
          <w:b/>
          <w:color w:val="auto"/>
          <w:sz w:val="52"/>
          <w:szCs w:val="52"/>
        </w:rPr>
      </w:pPr>
    </w:p>
    <w:p>
      <w:pPr>
        <w:jc w:val="both"/>
        <w:rPr>
          <w:rFonts w:ascii="Times New Roman" w:hAnsi="Times New Roman" w:eastAsia="华文中宋"/>
          <w:b/>
          <w:color w:val="auto"/>
          <w:sz w:val="52"/>
          <w:szCs w:val="52"/>
        </w:rPr>
      </w:pPr>
    </w:p>
    <w:p>
      <w:pPr>
        <w:jc w:val="center"/>
        <w:rPr>
          <w:rFonts w:hint="eastAsia" w:ascii="Times New Roman" w:hAnsi="Times New Roman" w:eastAsia="华文中宋"/>
          <w:b/>
          <w:color w:val="auto"/>
          <w:sz w:val="56"/>
          <w:szCs w:val="48"/>
        </w:rPr>
      </w:pPr>
      <w:r>
        <w:rPr>
          <w:rFonts w:ascii="Times New Roman" w:hAnsi="Times New Roman" w:eastAsia="华文中宋"/>
          <w:b/>
          <w:color w:val="auto"/>
          <w:sz w:val="56"/>
          <w:szCs w:val="48"/>
        </w:rPr>
        <w:t>建设工程施工合同</w:t>
      </w:r>
    </w:p>
    <w:p>
      <w:pPr>
        <w:jc w:val="center"/>
        <w:rPr>
          <w:rFonts w:ascii="Times New Roman" w:hAnsi="Times New Roman" w:eastAsia="华文中宋"/>
          <w:b/>
          <w:color w:val="auto"/>
          <w:sz w:val="48"/>
          <w:szCs w:val="48"/>
        </w:rPr>
      </w:pPr>
      <w:r>
        <w:rPr>
          <w:rFonts w:ascii="Times New Roman" w:hAnsi="Times New Roman" w:eastAsia="华文中宋"/>
          <w:b/>
          <w:color w:val="auto"/>
          <w:sz w:val="48"/>
          <w:szCs w:val="48"/>
        </w:rPr>
        <w:t>（示范文本）</w:t>
      </w:r>
    </w:p>
    <w:p>
      <w:pPr>
        <w:jc w:val="center"/>
        <w:rPr>
          <w:rFonts w:ascii="Times New Roman" w:hAnsi="Times New Roman" w:eastAsia="华文中宋"/>
          <w:b/>
          <w:color w:val="auto"/>
          <w:sz w:val="52"/>
          <w:szCs w:val="52"/>
        </w:rPr>
      </w:pPr>
    </w:p>
    <w:p>
      <w:pPr>
        <w:jc w:val="center"/>
        <w:rPr>
          <w:rFonts w:ascii="Times New Roman" w:hAnsi="Times New Roman" w:eastAsia="黑体"/>
          <w:b/>
          <w:color w:val="auto"/>
          <w:sz w:val="72"/>
          <w:szCs w:val="72"/>
        </w:rPr>
      </w:pPr>
    </w:p>
    <w:p>
      <w:pPr>
        <w:jc w:val="center"/>
        <w:rPr>
          <w:rFonts w:ascii="Times New Roman" w:hAnsi="Times New Roman" w:eastAsia="楷体_GB2312"/>
          <w:b/>
          <w:color w:val="auto"/>
          <w:sz w:val="72"/>
          <w:szCs w:val="72"/>
        </w:rPr>
      </w:pPr>
    </w:p>
    <w:p>
      <w:pPr>
        <w:jc w:val="center"/>
        <w:rPr>
          <w:rFonts w:ascii="Times New Roman" w:hAnsi="Times New Roman" w:eastAsia="黑体"/>
          <w:b/>
          <w:color w:val="auto"/>
          <w:sz w:val="52"/>
          <w:szCs w:val="52"/>
        </w:rPr>
      </w:pPr>
    </w:p>
    <w:p>
      <w:pPr>
        <w:rPr>
          <w:rFonts w:ascii="Times New Roman" w:hAnsi="Times New Roman"/>
          <w:b/>
          <w:color w:val="auto"/>
          <w:sz w:val="28"/>
          <w:szCs w:val="28"/>
        </w:rPr>
      </w:pPr>
    </w:p>
    <w:p>
      <w:pPr>
        <w:rPr>
          <w:rFonts w:ascii="Times New Roman" w:hAnsi="Times New Roman"/>
          <w:b/>
          <w:color w:val="auto"/>
          <w:sz w:val="28"/>
          <w:szCs w:val="28"/>
        </w:rPr>
      </w:pPr>
    </w:p>
    <w:p>
      <w:pPr>
        <w:ind w:right="3108" w:rightChars="1295" w:firstLine="3129" w:firstLineChars="1304"/>
        <w:jc w:val="distribute"/>
        <w:rPr>
          <w:rFonts w:ascii="Times New Roman" w:hAnsi="Times New Roman"/>
          <w:b/>
          <w:color w:val="auto"/>
          <w:sz w:val="32"/>
          <w:szCs w:val="28"/>
        </w:rPr>
      </w:pPr>
      <w:r>
        <w:rPr>
          <w:rFonts w:ascii="Times New Roman" w:hAnsi="Times New Roman"/>
          <w:color w:val="auto"/>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7" name="文本框 7"/>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FAlGQo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ascii="Times New Roman" w:hAnsi="Times New Roman"/>
          <w:b/>
          <w:color w:val="auto"/>
          <w:sz w:val="32"/>
          <w:szCs w:val="28"/>
        </w:rPr>
        <w:t>住房城乡建设部</w:t>
      </w:r>
    </w:p>
    <w:p>
      <w:pPr>
        <w:spacing w:line="360" w:lineRule="exact"/>
        <w:ind w:firstLine="2891" w:firstLineChars="900"/>
        <w:rPr>
          <w:rFonts w:ascii="Times New Roman" w:hAnsi="Times New Roman"/>
          <w:b/>
          <w:color w:val="auto"/>
          <w:sz w:val="32"/>
          <w:szCs w:val="28"/>
        </w:rPr>
      </w:pPr>
    </w:p>
    <w:p>
      <w:pPr>
        <w:spacing w:line="360" w:lineRule="exact"/>
        <w:ind w:firstLine="2891" w:firstLineChars="900"/>
        <w:rPr>
          <w:rFonts w:ascii="宋体" w:hAnsi="宋体"/>
          <w:color w:val="auto"/>
          <w:sz w:val="24"/>
          <w:szCs w:val="24"/>
        </w:rPr>
        <w:sectPr>
          <w:footerReference r:id="rId3" w:type="default"/>
          <w:pgSz w:w="11906" w:h="16838"/>
          <w:pgMar w:top="1418" w:right="1555" w:bottom="1418" w:left="1531" w:header="851" w:footer="992" w:gutter="0"/>
          <w:pgNumType w:start="0"/>
          <w:cols w:space="720" w:num="1"/>
          <w:titlePg/>
          <w:docGrid w:type="lines" w:linePitch="312" w:charSpace="0"/>
        </w:sectPr>
      </w:pPr>
      <w:r>
        <w:rPr>
          <w:rFonts w:ascii="Times New Roman" w:hAnsi="Times New Roman"/>
          <w:b/>
          <w:color w:val="auto"/>
          <w:sz w:val="32"/>
          <w:szCs w:val="28"/>
        </w:rPr>
        <w:t>国家工商行政管理总局</w:t>
      </w:r>
      <w:bookmarkStart w:id="1" w:name="_Toc296503025"/>
      <w:bookmarkStart w:id="2" w:name="_Toc296890982"/>
    </w:p>
    <w:p>
      <w:pPr>
        <w:pStyle w:val="193"/>
        <w:spacing w:before="120" w:after="120"/>
        <w:jc w:val="center"/>
        <w:rPr>
          <w:rFonts w:hint="eastAsia" w:ascii="宋体" w:hAnsi="宋体" w:eastAsia="宋体" w:cs="宋体"/>
          <w:color w:val="auto"/>
          <w:sz w:val="24"/>
          <w:szCs w:val="24"/>
        </w:rPr>
      </w:pPr>
      <w:r>
        <w:rPr>
          <w:rFonts w:hint="eastAsia" w:ascii="宋体" w:hAnsi="宋体" w:eastAsia="宋体" w:cs="宋体"/>
          <w:color w:val="auto"/>
          <w:sz w:val="24"/>
          <w:szCs w:val="24"/>
          <w:lang w:val="zh-CN"/>
        </w:rPr>
        <w:t>目  录</w:t>
      </w:r>
    </w:p>
    <w:p>
      <w:pPr>
        <w:pStyle w:val="29"/>
        <w:tabs>
          <w:tab w:val="right" w:leader="dot" w:pos="8296"/>
        </w:tabs>
        <w:rPr>
          <w:rFonts w:hint="eastAsia" w:ascii="宋体" w:hAnsi="宋体" w:eastAsia="宋体" w:cs="宋体"/>
          <w:b w:val="0"/>
          <w:color w:val="auto"/>
          <w:kern w:val="2"/>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TOC \o "1-5" \h \z \u </w:instrText>
      </w:r>
      <w:r>
        <w:rPr>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bCs/>
          <w:color w:val="auto"/>
          <w:sz w:val="21"/>
          <w:szCs w:val="21"/>
        </w:rPr>
        <w:t>一、《示范文本》的组成</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（一）合同协议书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（二）通用合同条款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（三）专用合同条款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bCs/>
          <w:color w:val="auto"/>
          <w:sz w:val="21"/>
          <w:szCs w:val="21"/>
        </w:rPr>
        <w:t>二、《示范文本》的性质和适用范围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1"/>
        <w:tabs>
          <w:tab w:val="right" w:leader="dot" w:pos="8810"/>
        </w:tabs>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第一部分 合同协议书</w:t>
      </w:r>
      <w:r>
        <w:rPr>
          <w:rStyle w:val="49"/>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一、工程概况</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二、合同工期</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"_Toc160552989"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三、质量标准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_Toc160552989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四、签约合同价与合同价格形式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五、项目经理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六、合同文件构成</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七、承诺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九、签订时间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十、签订地点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十一、补充协议</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十二、合同生效</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十三、合同份数</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1"/>
        <w:tabs>
          <w:tab w:val="right" w:leader="dot" w:pos="8810"/>
        </w:tabs>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"_Toc160552999"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第二部分 通用合同条款</w:t>
      </w:r>
      <w:r>
        <w:rPr>
          <w:rStyle w:val="49"/>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_Toc160552999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 一般约定</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1.1词语定义与解释</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1.2语言文字</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1.3法律</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1.4 标准和规范</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 合同文件的优先顺序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1.6图纸和承包人文件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1.7联络</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1.8严禁贿赂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"_Toc160553009"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1.9化石、文物</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_Toc160553009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1.10交通运输</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1.11知识产权</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1.12保密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1.13工程量清单错误的修正</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 发包人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2.1 许可或批准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2.2 发包人代表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2.3 发包人人员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2.4 施工现场、施工条件和基础资料的提供</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"_Toc160553019"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2.5 资金来源证明及支付担保</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_Toc160553019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2.6 支付合同价款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2.7 组织竣工验收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2.8 现场统一管理协议</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 承包人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3.1 承包人的一般义务</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3.2 项目经理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3.3 承包人人员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3.4 承包人现场查勘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3.5 分包</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"_Toc160553029"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3.6 工程照管与成品、半成品保护</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_Toc160553029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3.7 履约担保</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3.8 联合体</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4. 监理人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4.1监理人的一般规定</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4.2监理人员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4.3监理人的指示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4.4 商定或确定</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 工程质量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5.1质量要求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"_Toc160553039"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5.2质量保证措施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_Toc160553039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5.2.1 发包人的质量管理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5.2.3 监理人的质量检查和检验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5.3 隐蔽工程检查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5.4不合格工程的处理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5.5 质量争议检测</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6. 安全文明施工与环境保护</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6.1安全文明施工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6.2 职业健康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6.3 环境保护</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"_Toc160553049"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 工期和进度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_Toc160553049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7.1施工组织设计</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7.2 施工进度计划</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7.3 开工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7.4测量放线</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7.5 工期延误</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7.6 不利物质条件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7.7 异常恶劣的气候条件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bCs/>
          <w:color w:val="auto"/>
          <w:sz w:val="21"/>
          <w:szCs w:val="21"/>
        </w:rPr>
        <w:t>7.8 暂停施工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7.9提前竣工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"_Toc160553059"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 材料与设备</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_Toc160553059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8.1发包人供应材料与工程设备</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8.2承包人采购材料与工程设备</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8.3材料与工程设备的接收与拒收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8.4材料与工程设备的保管与使用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8.5禁止使用不合格的材料和工程设备</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8.6 样品</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8.7材料与工程设备的替代</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8.8施工设备和临时设施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8.9材料与设备专用要求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"_Toc160553069"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9. 试验与检验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_Toc160553069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9.1试验设备与试验人员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9.2取样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9.3材料、工程设备和工程的试验和检验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9.4现场工艺试验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 变更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10.1变更的范围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10.2变更权</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10.3变更程序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10.4变更估价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"_Toc160553079"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10.5承包人的合理化建议</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_Toc160553079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10.6变更引起的工期调整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10.7暂估价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10.8暂列金额</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10.9计日工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 价格调整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11.1市场价格波动引起的调整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11.2法律变化引起的调整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 合同价格、计量与支付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12.1 合同价格形式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"_Toc160553089"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12.2预付款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_Toc160553089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12.3计量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12.4工程进度款支付</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12.4.1 付款周期</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12.4.3 进度付款申请单的提交</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12.5支付账户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 验收和工程试车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13.1分部分项工程验收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13.2竣工验收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13.2.4 拒绝接收全部或部分工程</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"_Toc160553099"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13.3工程试车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_Toc160553099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13.4提前交付单位工程的验收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13.5 施工期运行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13.6 竣工退场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14. 竣工结算</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14.1 竣工结算申请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14.2 竣工结算审核</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14.3 甩项竣工协议</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14.4 最终结清</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 缺陷责任与保修</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"_Toc160553109"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15.1 工程保修的原则</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_Toc160553109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15.2 缺陷责任期</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15.3 质量保证金</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15.4 保修</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16. 违约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16.1 发包人违约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16.2 承包人违约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16.3 第三人造成的违约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17. 不可抗力</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17.1 不可抗力的确认</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"_Toc160553119"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17.2 不可抗力的通知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_Toc160553119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17.3 不可抗力后果的承担</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62</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17.4 因不可抗力解除合同</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 保险</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18.1 工程保险</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18.2 工伤保险</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18.3其他保险</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63</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18.4持续保险</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18.5 保险凭证</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18.6 未按约定投保的补救</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"_Toc160553129"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18.7 通知义务</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_Toc160553129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 索赔</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19.1承包人的索赔</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19.2 对承包人索赔的处理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19.3发包人的索赔</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19.4 对发包人索赔的处理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65</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19.5 提出索赔的期限</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20. 争议解决</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20.1和解</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20.2调解</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"_Toc160553139"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20.3争议评审</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_Toc160553139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20.4仲裁或诉讼</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20.5争议解决条款效力</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1"/>
        <w:tabs>
          <w:tab w:val="right" w:leader="dot" w:pos="8810"/>
        </w:tabs>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第三部分 专用合同条款</w:t>
      </w:r>
      <w:r>
        <w:rPr>
          <w:rStyle w:val="49"/>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 一般约定</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 词语定义</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68</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 xml:space="preserve">1.4.2 发包人提供国外标准、规范的名称：                 </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1.5 合同文件的优先顺序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70</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left" w:pos="3360"/>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1.6 图纸和承包人文件</w:t>
      </w:r>
      <w:r>
        <w:rPr>
          <w:rFonts w:hint="eastAsia" w:ascii="宋体" w:hAnsi="宋体" w:eastAsia="宋体" w:cs="宋体"/>
          <w:b w:val="0"/>
          <w:color w:val="auto"/>
          <w:kern w:val="2"/>
          <w:sz w:val="21"/>
          <w:szCs w:val="21"/>
          <w:lang w:val="en-US" w:eastAsia="zh-CN"/>
        </w:rPr>
        <w:tab/>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71</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30"/>
        <w:rPr>
          <w:rFonts w:hint="eastAsia" w:ascii="宋体" w:hAnsi="宋体" w:eastAsia="宋体" w:cs="宋体"/>
          <w:color w:val="auto"/>
          <w:sz w:val="21"/>
          <w:szCs w:val="21"/>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4. 监理人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"_Toc160553149"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一、工程质量保修范围和内容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_Toc160553149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二、质量保修期</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三、缺陷责任期</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四、质量保修责任</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五、保修费用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"_Toc160553154"</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（发包人名称）（以下简称“发包人”）</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114</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"_Toc160553155"</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一、保证的范围及保证金额</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"_Toc160553156"</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二、保证的方式及保证期间</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"_Toc160553157"</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三、承担保证责任的形式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"_Toc160553158"</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四、代偿的安排</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116</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"_Toc160553159"</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五、保证责任的解除</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_Toc160553159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"_Toc160553160"</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六、免责条款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_Toc160553160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"_Toc160553161"</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七、争议解决</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_Toc160553161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"_Toc160553162"</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八、保函的生效</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_Toc160553162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117</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29"/>
        <w:tabs>
          <w:tab w:val="right" w:leader="dot" w:pos="8296"/>
        </w:tabs>
        <w:rPr>
          <w:rFonts w:hint="eastAsia" w:ascii="宋体" w:hAnsi="宋体" w:eastAsia="宋体" w:cs="宋体"/>
          <w:b w:val="0"/>
          <w:color w:val="auto"/>
          <w:kern w:val="2"/>
          <w:sz w:val="21"/>
          <w:szCs w:val="21"/>
          <w:lang w:val="en-US" w:eastAsia="zh-CN"/>
        </w:rPr>
      </w:pPr>
      <w:r>
        <w:rPr>
          <w:rStyle w:val="49"/>
          <w:rFonts w:hint="eastAsia" w:ascii="宋体" w:hAnsi="宋体" w:eastAsia="宋体" w:cs="宋体"/>
          <w:color w:val="auto"/>
          <w:sz w:val="21"/>
          <w:szCs w:val="21"/>
        </w:rPr>
        <w:fldChar w:fldCharType="begin"/>
      </w:r>
      <w:r>
        <w:rPr>
          <w:rStyle w:val="49"/>
          <w:rFonts w:hint="eastAsia" w:ascii="宋体" w:hAnsi="宋体" w:eastAsia="宋体" w:cs="宋体"/>
          <w:color w:val="auto"/>
          <w:sz w:val="21"/>
          <w:szCs w:val="21"/>
        </w:rPr>
        <w:instrText xml:space="preserve"> </w:instrText>
      </w:r>
      <w:r>
        <w:rPr>
          <w:rFonts w:hint="eastAsia" w:ascii="宋体" w:hAnsi="宋体" w:eastAsia="宋体" w:cs="宋体"/>
          <w:color w:val="auto"/>
          <w:sz w:val="21"/>
          <w:szCs w:val="21"/>
        </w:rPr>
        <w:instrText xml:space="preserve">HYPERLINK \l "_Toc160553163"</w:instrText>
      </w:r>
      <w:r>
        <w:rPr>
          <w:rStyle w:val="49"/>
          <w:rFonts w:hint="eastAsia" w:ascii="宋体" w:hAnsi="宋体" w:eastAsia="宋体" w:cs="宋体"/>
          <w:color w:val="auto"/>
          <w:sz w:val="21"/>
          <w:szCs w:val="21"/>
        </w:rPr>
        <w:instrText xml:space="preserve"> </w:instrText>
      </w:r>
      <w:r>
        <w:rPr>
          <w:rStyle w:val="49"/>
          <w:rFonts w:hint="eastAsia" w:ascii="宋体" w:hAnsi="宋体" w:eastAsia="宋体" w:cs="宋体"/>
          <w:color w:val="auto"/>
          <w:sz w:val="21"/>
          <w:szCs w:val="21"/>
        </w:rPr>
        <w:fldChar w:fldCharType="separate"/>
      </w:r>
      <w:r>
        <w:rPr>
          <w:rStyle w:val="49"/>
          <w:rFonts w:hint="eastAsia" w:ascii="宋体" w:hAnsi="宋体" w:eastAsia="宋体" w:cs="宋体"/>
          <w:color w:val="auto"/>
          <w:sz w:val="21"/>
          <w:szCs w:val="21"/>
        </w:rPr>
        <w:t>11-1：材料暂估价表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_Toc160553163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119</w:t>
      </w:r>
      <w:r>
        <w:rPr>
          <w:rFonts w:hint="eastAsia" w:ascii="宋体" w:hAnsi="宋体" w:eastAsia="宋体" w:cs="宋体"/>
          <w:color w:val="auto"/>
          <w:sz w:val="21"/>
          <w:szCs w:val="21"/>
        </w:rPr>
        <w:fldChar w:fldCharType="end"/>
      </w:r>
      <w:r>
        <w:rPr>
          <w:rStyle w:val="49"/>
          <w:rFonts w:hint="eastAsia" w:ascii="宋体" w:hAnsi="宋体" w:eastAsia="宋体" w:cs="宋体"/>
          <w:color w:val="auto"/>
          <w:sz w:val="21"/>
          <w:szCs w:val="21"/>
        </w:rPr>
        <w:fldChar w:fldCharType="end"/>
      </w:r>
    </w:p>
    <w:p>
      <w:pPr>
        <w:pStyle w:val="4"/>
        <w:jc w:val="center"/>
        <w:rPr>
          <w:rFonts w:ascii="宋体" w:hAnsi="宋体"/>
          <w:color w:val="auto"/>
          <w:sz w:val="24"/>
          <w:szCs w:val="24"/>
        </w:rPr>
        <w:sectPr>
          <w:footerReference r:id="rId4" w:type="first"/>
          <w:pgSz w:w="11906" w:h="16838"/>
          <w:pgMar w:top="1418" w:right="1555" w:bottom="1418" w:left="1531" w:header="851" w:footer="992" w:gutter="0"/>
          <w:pgNumType w:start="1"/>
          <w:cols w:space="720" w:num="1"/>
          <w:titlePg/>
          <w:docGrid w:type="lines" w:linePitch="312" w:charSpace="0"/>
        </w:sectPr>
      </w:pPr>
      <w:r>
        <w:rPr>
          <w:rFonts w:hint="eastAsia" w:ascii="宋体" w:hAnsi="宋体" w:eastAsia="宋体" w:cs="宋体"/>
          <w:color w:val="auto"/>
          <w:sz w:val="21"/>
          <w:szCs w:val="21"/>
        </w:rPr>
        <w:fldChar w:fldCharType="end"/>
      </w:r>
    </w:p>
    <w:p>
      <w:pPr>
        <w:pStyle w:val="4"/>
        <w:jc w:val="center"/>
        <w:rPr>
          <w:rFonts w:ascii="宋体" w:hAnsi="宋体"/>
          <w:b w:val="0"/>
          <w:color w:val="auto"/>
          <w:sz w:val="36"/>
          <w:szCs w:val="36"/>
        </w:rPr>
      </w:pPr>
      <w:bookmarkStart w:id="3" w:name="_Toc160552986"/>
      <w:r>
        <w:rPr>
          <w:rFonts w:ascii="宋体" w:hAnsi="宋体"/>
          <w:color w:val="auto"/>
          <w:sz w:val="36"/>
          <w:szCs w:val="36"/>
        </w:rPr>
        <w:t>第一部分 合同协议书</w:t>
      </w:r>
      <w:bookmarkEnd w:id="1"/>
      <w:bookmarkEnd w:id="2"/>
      <w:bookmarkEnd w:id="3"/>
    </w:p>
    <w:p>
      <w:pPr>
        <w:spacing w:line="360" w:lineRule="auto"/>
        <w:rPr>
          <w:rFonts w:hint="default" w:ascii="宋体" w:hAnsi="宋体" w:eastAsia="宋体" w:cs="宋体"/>
          <w:b/>
          <w:color w:val="auto"/>
          <w:sz w:val="21"/>
          <w:szCs w:val="21"/>
          <w:u w:val="single"/>
          <w:lang w:val="en-US" w:eastAsia="zh-CN"/>
        </w:rPr>
      </w:pPr>
      <w:r>
        <w:rPr>
          <w:rFonts w:hint="eastAsia" w:ascii="宋体" w:hAnsi="宋体" w:eastAsia="宋体" w:cs="宋体"/>
          <w:b/>
          <w:color w:val="auto"/>
          <w:sz w:val="21"/>
          <w:szCs w:val="21"/>
        </w:rPr>
        <w:t>发包人（全称）：</w:t>
      </w:r>
      <w:r>
        <w:rPr>
          <w:rFonts w:hint="eastAsia" w:ascii="宋体" w:hAnsi="宋体" w:cs="宋体"/>
          <w:b w:val="0"/>
          <w:bCs/>
          <w:color w:val="auto"/>
          <w:sz w:val="21"/>
          <w:szCs w:val="21"/>
          <w:u w:val="single"/>
          <w:lang w:val="en-US" w:eastAsia="zh-CN"/>
        </w:rPr>
        <w:t xml:space="preserve">                        </w:t>
      </w:r>
    </w:p>
    <w:p>
      <w:pPr>
        <w:spacing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承包人（全称）：</w:t>
      </w:r>
      <w:r>
        <w:rPr>
          <w:rFonts w:hint="eastAsia" w:ascii="宋体" w:hAnsi="宋体" w:eastAsia="宋体" w:cs="宋体"/>
          <w:b/>
          <w:color w:val="auto"/>
          <w:sz w:val="21"/>
          <w:szCs w:val="21"/>
          <w:u w:val="single"/>
        </w:rPr>
        <w:t>                    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rPr>
        <w:t>工程施工及有关事项协商一致，共同达成如下协议：</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4" w:name="_Toc160552987"/>
      <w:r>
        <w:rPr>
          <w:rFonts w:hint="eastAsia" w:ascii="宋体" w:hAnsi="宋体" w:eastAsia="宋体" w:cs="宋体"/>
          <w:b w:val="0"/>
          <w:color w:val="auto"/>
          <w:sz w:val="21"/>
          <w:szCs w:val="21"/>
        </w:rPr>
        <w:t>一、工程概况</w:t>
      </w:r>
      <w:bookmarkEnd w:id="4"/>
    </w:p>
    <w:p>
      <w:pPr>
        <w:spacing w:line="360" w:lineRule="auto"/>
        <w:ind w:firstLine="411" w:firstLineChars="196"/>
        <w:rPr>
          <w:rFonts w:hint="eastAsia" w:ascii="宋体" w:hAnsi="宋体" w:eastAsia="宋体" w:cs="宋体"/>
          <w:color w:val="auto"/>
          <w:sz w:val="21"/>
          <w:szCs w:val="21"/>
          <w:u w:val="single"/>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rPr>
        <w:t>。</w:t>
      </w:r>
    </w:p>
    <w:p>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2.工程地点：</w:t>
      </w:r>
      <w:r>
        <w:rPr>
          <w:rFonts w:hint="eastAsia" w:ascii="宋体" w:hAnsi="宋体" w:cs="宋体"/>
          <w:bCs/>
          <w:color w:val="auto"/>
          <w:sz w:val="21"/>
          <w:szCs w:val="21"/>
          <w:u w:val="single"/>
          <w:lang w:val="en-US" w:eastAsia="zh-CN"/>
        </w:rPr>
        <w:t xml:space="preserve">           </w:t>
      </w:r>
      <w:r>
        <w:rPr>
          <w:rFonts w:hint="eastAsia" w:ascii="宋体" w:hAnsi="宋体" w:eastAsia="宋体" w:cs="宋体"/>
          <w:color w:val="auto"/>
          <w:sz w:val="21"/>
          <w:szCs w:val="21"/>
        </w:rPr>
        <w:t>。</w:t>
      </w:r>
    </w:p>
    <w:p>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3.工程立项批准文号：</w:t>
      </w:r>
      <w:r>
        <w:rPr>
          <w:rFonts w:hint="eastAsia" w:ascii="宋体" w:hAnsi="宋体" w:cs="宋体"/>
          <w:bCs/>
          <w:color w:val="auto"/>
          <w:sz w:val="21"/>
          <w:szCs w:val="21"/>
          <w:u w:val="single"/>
          <w:lang w:val="en-US" w:eastAsia="zh-CN"/>
        </w:rPr>
        <w:t xml:space="preserve">           </w:t>
      </w:r>
      <w:r>
        <w:rPr>
          <w:rFonts w:hint="eastAsia" w:ascii="宋体" w:hAnsi="宋体" w:eastAsia="宋体" w:cs="宋体"/>
          <w:bCs/>
          <w:color w:val="auto"/>
          <w:sz w:val="21"/>
          <w:szCs w:val="21"/>
        </w:rPr>
        <w:t>。</w:t>
      </w:r>
    </w:p>
    <w:p>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cs="宋体"/>
          <w:color w:val="auto"/>
          <w:sz w:val="21"/>
          <w:szCs w:val="21"/>
          <w:u w:val="single"/>
          <w:lang w:val="en-US" w:eastAsia="zh-CN"/>
        </w:rPr>
        <w:t xml:space="preserve">            </w:t>
      </w:r>
      <w:r>
        <w:rPr>
          <w:rFonts w:hint="eastAsia" w:ascii="宋体" w:hAnsi="宋体" w:eastAsia="宋体" w:cs="宋体"/>
          <w:bCs/>
          <w:color w:val="auto"/>
          <w:sz w:val="21"/>
          <w:szCs w:val="21"/>
        </w:rPr>
        <w:t>。</w:t>
      </w:r>
    </w:p>
    <w:p>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5.工程内容：</w:t>
      </w:r>
      <w:r>
        <w:rPr>
          <w:rFonts w:hint="eastAsia" w:ascii="宋体" w:hAnsi="宋体" w:eastAsia="宋体" w:cs="宋体"/>
          <w:bCs/>
          <w:color w:val="auto"/>
          <w:sz w:val="21"/>
          <w:szCs w:val="21"/>
          <w:u w:val="single"/>
          <w:lang w:val="en-US" w:eastAsia="zh-CN"/>
        </w:rPr>
        <w:t xml:space="preserve">           </w:t>
      </w:r>
      <w:r>
        <w:rPr>
          <w:rFonts w:hint="eastAsia" w:ascii="宋体" w:hAnsi="宋体" w:eastAsia="宋体" w:cs="宋体"/>
          <w:bCs/>
          <w:color w:val="auto"/>
          <w:sz w:val="21"/>
          <w:szCs w:val="21"/>
        </w:rPr>
        <w:t>。</w:t>
      </w:r>
    </w:p>
    <w:p>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pPr>
        <w:spacing w:line="360" w:lineRule="auto"/>
        <w:ind w:firstLine="411" w:firstLineChars="196"/>
        <w:rPr>
          <w:rFonts w:hint="eastAsia" w:ascii="宋体" w:hAnsi="宋体" w:eastAsia="宋体" w:cs="宋体"/>
          <w:color w:val="auto"/>
          <w:sz w:val="21"/>
          <w:szCs w:val="21"/>
        </w:rPr>
      </w:pPr>
      <w:r>
        <w:rPr>
          <w:rFonts w:hint="eastAsia" w:ascii="宋体" w:hAnsi="宋体" w:eastAsia="宋体" w:cs="宋体"/>
          <w:bCs/>
          <w:color w:val="auto"/>
          <w:sz w:val="21"/>
          <w:szCs w:val="21"/>
        </w:rPr>
        <w:t>6.工程承包范围：</w:t>
      </w:r>
      <w:r>
        <w:rPr>
          <w:rFonts w:hint="eastAsia" w:ascii="宋体" w:hAnsi="宋体" w:eastAsia="宋体" w:cs="宋体"/>
          <w:color w:val="auto"/>
          <w:sz w:val="21"/>
          <w:szCs w:val="21"/>
          <w:u w:val="single"/>
        </w:rPr>
        <w:t>工程量清单及施工图中包含的所有内容</w:t>
      </w:r>
      <w:r>
        <w:rPr>
          <w:rFonts w:hint="eastAsia" w:ascii="宋体" w:hAnsi="宋体" w:eastAsia="宋体" w:cs="宋体"/>
          <w:color w:val="auto"/>
          <w:sz w:val="21"/>
          <w:szCs w:val="21"/>
        </w:rPr>
        <w:t>。</w:t>
      </w:r>
    </w:p>
    <w:p>
      <w:pPr>
        <w:pStyle w:val="5"/>
        <w:spacing w:before="120" w:after="120" w:line="360" w:lineRule="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5" w:name="_Toc160552988"/>
      <w:r>
        <w:rPr>
          <w:rFonts w:hint="eastAsia" w:ascii="宋体" w:hAnsi="宋体" w:eastAsia="宋体" w:cs="宋体"/>
          <w:b w:val="0"/>
          <w:color w:val="auto"/>
          <w:sz w:val="21"/>
          <w:szCs w:val="21"/>
        </w:rPr>
        <w:t>二、合同工期</w:t>
      </w:r>
      <w:bookmarkEnd w:id="5"/>
    </w:p>
    <w:p>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日（具体开工时间以发包人签发的开工报告为准）。</w:t>
      </w:r>
    </w:p>
    <w:p>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日。</w:t>
      </w:r>
    </w:p>
    <w:p>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天。工期总日历天数与根据前述计划开竣工日期计算的工期天数不一致的，以工期总日历天数为准。</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6" w:name="_Toc160552989"/>
      <w:r>
        <w:rPr>
          <w:rFonts w:hint="eastAsia" w:ascii="宋体" w:hAnsi="宋体" w:eastAsia="宋体" w:cs="宋体"/>
          <w:b w:val="0"/>
          <w:color w:val="auto"/>
          <w:sz w:val="21"/>
          <w:szCs w:val="21"/>
        </w:rPr>
        <w:t>三、质量标准</w:t>
      </w:r>
      <w:bookmarkEnd w:id="6"/>
    </w:p>
    <w:p>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工程质量符合</w:t>
      </w:r>
      <w:r>
        <w:rPr>
          <w:rFonts w:hint="eastAsia" w:ascii="宋体" w:hAnsi="宋体" w:eastAsia="宋体" w:cs="宋体"/>
          <w:b/>
          <w:bCs/>
          <w:color w:val="auto"/>
          <w:sz w:val="21"/>
          <w:szCs w:val="21"/>
          <w:u w:val="single"/>
        </w:rPr>
        <w:t>现行国家有关工程施工验收规范和标准的合格要求合格</w:t>
      </w:r>
      <w:r>
        <w:rPr>
          <w:rFonts w:hint="eastAsia" w:ascii="宋体" w:hAnsi="宋体" w:eastAsia="宋体" w:cs="宋体"/>
          <w:color w:val="auto"/>
          <w:sz w:val="21"/>
          <w:szCs w:val="21"/>
        </w:rPr>
        <w:t>标准。</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7" w:name="_Toc160552990"/>
      <w:r>
        <w:rPr>
          <w:rFonts w:hint="eastAsia" w:ascii="宋体" w:hAnsi="宋体" w:eastAsia="宋体" w:cs="宋体"/>
          <w:b w:val="0"/>
          <w:color w:val="auto"/>
          <w:sz w:val="21"/>
          <w:szCs w:val="21"/>
        </w:rPr>
        <w:t>四、签约合同价与合同价格形式</w:t>
      </w:r>
      <w:bookmarkEnd w:id="7"/>
      <w:r>
        <w:rPr>
          <w:rFonts w:hint="eastAsia" w:ascii="宋体" w:hAnsi="宋体" w:eastAsia="宋体" w:cs="宋体"/>
          <w:b w:val="0"/>
          <w:color w:val="auto"/>
          <w:sz w:val="21"/>
          <w:szCs w:val="21"/>
        </w:rPr>
        <w:tab/>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1.签约合同价为：</w:t>
      </w:r>
    </w:p>
    <w:p>
      <w:pPr>
        <w:spacing w:line="360" w:lineRule="auto"/>
        <w:ind w:firstLine="525" w:firstLineChars="2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其中：</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（1）安全文明施工费：</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（2）材料和工程设备暂估价金额：</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（3）专业工程暂估价金额：</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（4）暂列金额：</w:t>
      </w:r>
    </w:p>
    <w:p>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pStyle w:val="5"/>
        <w:spacing w:before="120" w:after="120" w:line="360" w:lineRule="auto"/>
        <w:rPr>
          <w:rFonts w:hint="eastAsia" w:ascii="宋体" w:hAnsi="宋体" w:eastAsia="宋体" w:cs="宋体"/>
          <w:b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8" w:name="_Toc160552991"/>
      <w:r>
        <w:rPr>
          <w:rFonts w:hint="eastAsia" w:ascii="宋体" w:hAnsi="宋体" w:eastAsia="宋体" w:cs="宋体"/>
          <w:b w:val="0"/>
          <w:color w:val="auto"/>
          <w:sz w:val="21"/>
          <w:szCs w:val="21"/>
        </w:rPr>
        <w:t>五、项目经理</w:t>
      </w:r>
      <w:bookmarkEnd w:id="8"/>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9" w:name="_Toc160552992"/>
      <w:r>
        <w:rPr>
          <w:rFonts w:hint="eastAsia" w:ascii="宋体" w:hAnsi="宋体" w:eastAsia="宋体" w:cs="宋体"/>
          <w:b w:val="0"/>
          <w:color w:val="auto"/>
          <w:sz w:val="21"/>
          <w:szCs w:val="21"/>
        </w:rPr>
        <w:t>六、合同文件构成</w:t>
      </w:r>
      <w:bookmarkEnd w:id="9"/>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（1）中标通知书（如果有）；</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（2）投标函及其附录（如果有）； </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（3）专用合同条款及其附件；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（4）通用合同条款；</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（5）技术标准和要求；</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（6）图纸；</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（8）其他合同文件。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pPr>
        <w:pStyle w:val="5"/>
        <w:spacing w:before="120" w:after="12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w:t>
      </w:r>
      <w:r>
        <w:rPr>
          <w:rFonts w:hint="eastAsia" w:ascii="宋体" w:hAnsi="宋体" w:eastAsia="宋体" w:cs="宋体"/>
          <w:b w:val="0"/>
          <w:color w:val="auto"/>
          <w:sz w:val="21"/>
          <w:szCs w:val="21"/>
        </w:rPr>
        <w:t xml:space="preserve"> </w:t>
      </w:r>
      <w:bookmarkStart w:id="10" w:name="_Toc160552993"/>
      <w:r>
        <w:rPr>
          <w:rFonts w:hint="eastAsia" w:ascii="宋体" w:hAnsi="宋体" w:eastAsia="宋体" w:cs="宋体"/>
          <w:b w:val="0"/>
          <w:color w:val="auto"/>
          <w:sz w:val="21"/>
          <w:szCs w:val="21"/>
        </w:rPr>
        <w:t>七、承诺</w:t>
      </w:r>
      <w:bookmarkEnd w:id="10"/>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3.发包人和承包人通过招投标形式签订合同的，双方理解并承诺不再就同一工程另行签订与合同实质性内容相背离的协议。</w:t>
      </w:r>
    </w:p>
    <w:p>
      <w:pPr>
        <w:spacing w:line="360" w:lineRule="auto"/>
        <w:rPr>
          <w:rFonts w:hint="eastAsia" w:ascii="宋体" w:hAnsi="宋体" w:eastAsia="宋体" w:cs="宋体"/>
          <w:bCs/>
          <w:color w:val="auto"/>
          <w:sz w:val="21"/>
          <w:szCs w:val="21"/>
        </w:rPr>
      </w:pPr>
      <w:r>
        <w:rPr>
          <w:rFonts w:hint="eastAsia" w:ascii="宋体" w:hAnsi="宋体" w:eastAsia="宋体" w:cs="宋体"/>
          <w:b/>
          <w:color w:val="auto"/>
          <w:sz w:val="21"/>
          <w:szCs w:val="21"/>
        </w:rPr>
        <w:t xml:space="preserve">    八、词语含义</w:t>
      </w:r>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11" w:name="_Toc160552994"/>
      <w:r>
        <w:rPr>
          <w:rFonts w:hint="eastAsia" w:ascii="宋体" w:hAnsi="宋体" w:eastAsia="宋体" w:cs="宋体"/>
          <w:b w:val="0"/>
          <w:color w:val="auto"/>
          <w:sz w:val="21"/>
          <w:szCs w:val="21"/>
        </w:rPr>
        <w:t>九、签订时间</w:t>
      </w:r>
      <w:bookmarkEnd w:id="11"/>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12" w:name="_Toc160552995"/>
      <w:r>
        <w:rPr>
          <w:rFonts w:hint="eastAsia" w:ascii="宋体" w:hAnsi="宋体" w:eastAsia="宋体" w:cs="宋体"/>
          <w:b w:val="0"/>
          <w:color w:val="auto"/>
          <w:sz w:val="21"/>
          <w:szCs w:val="21"/>
        </w:rPr>
        <w:t>十、签订地点</w:t>
      </w:r>
      <w:bookmarkEnd w:id="12"/>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lang w:val="en-US" w:eastAsia="zh-CN"/>
        </w:rPr>
        <w:t>杭州市西湖区</w:t>
      </w:r>
      <w:r>
        <w:rPr>
          <w:rFonts w:hint="eastAsia" w:ascii="宋体" w:hAnsi="宋体" w:eastAsia="宋体" w:cs="宋体"/>
          <w:bCs/>
          <w:color w:val="auto"/>
          <w:sz w:val="21"/>
          <w:szCs w:val="21"/>
        </w:rPr>
        <w:t>签订。</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13" w:name="_Toc160552996"/>
      <w:r>
        <w:rPr>
          <w:rFonts w:hint="eastAsia" w:ascii="宋体" w:hAnsi="宋体" w:eastAsia="宋体" w:cs="宋体"/>
          <w:b w:val="0"/>
          <w:color w:val="auto"/>
          <w:sz w:val="21"/>
          <w:szCs w:val="21"/>
        </w:rPr>
        <w:t>十一、补充协议</w:t>
      </w:r>
      <w:bookmarkEnd w:id="13"/>
    </w:p>
    <w:p>
      <w:pPr>
        <w:spacing w:line="360" w:lineRule="auto"/>
        <w:ind w:firstLine="420" w:firstLineChars="200"/>
        <w:rPr>
          <w:rFonts w:hint="eastAsia"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14" w:name="_Toc160552997"/>
      <w:r>
        <w:rPr>
          <w:rFonts w:hint="eastAsia" w:ascii="宋体" w:hAnsi="宋体" w:eastAsia="宋体" w:cs="宋体"/>
          <w:b w:val="0"/>
          <w:color w:val="auto"/>
          <w:sz w:val="21"/>
          <w:szCs w:val="21"/>
        </w:rPr>
        <w:t>十二、合同生效</w:t>
      </w:r>
      <w:bookmarkEnd w:id="14"/>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双方签字</w:t>
      </w:r>
      <w:r>
        <w:rPr>
          <w:rFonts w:hint="eastAsia" w:ascii="宋体" w:hAnsi="宋体" w:eastAsia="宋体" w:cs="宋体"/>
          <w:bCs/>
          <w:color w:val="auto"/>
          <w:sz w:val="21"/>
          <w:szCs w:val="21"/>
          <w:u w:val="single"/>
          <w:lang w:eastAsia="zh-CN"/>
        </w:rPr>
        <w:t>并</w:t>
      </w:r>
      <w:r>
        <w:rPr>
          <w:rFonts w:hint="eastAsia" w:ascii="宋体" w:hAnsi="宋体" w:eastAsia="宋体" w:cs="宋体"/>
          <w:bCs/>
          <w:color w:val="auto"/>
          <w:sz w:val="21"/>
          <w:szCs w:val="21"/>
          <w:u w:val="single"/>
        </w:rPr>
        <w:t>盖章后</w:t>
      </w:r>
      <w:r>
        <w:rPr>
          <w:rFonts w:hint="eastAsia" w:ascii="宋体" w:hAnsi="宋体" w:eastAsia="宋体" w:cs="宋体"/>
          <w:bCs/>
          <w:color w:val="auto"/>
          <w:sz w:val="21"/>
          <w:szCs w:val="21"/>
        </w:rPr>
        <w:t>生效。</w:t>
      </w:r>
    </w:p>
    <w:p>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15" w:name="_Toc160552998"/>
      <w:r>
        <w:rPr>
          <w:rFonts w:hint="eastAsia" w:ascii="宋体" w:hAnsi="宋体" w:eastAsia="宋体" w:cs="宋体"/>
          <w:b w:val="0"/>
          <w:color w:val="auto"/>
          <w:sz w:val="21"/>
          <w:szCs w:val="21"/>
        </w:rPr>
        <w:t>十三、合同份数</w:t>
      </w:r>
      <w:bookmarkEnd w:id="15"/>
    </w:p>
    <w:p>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lang w:val="en-US" w:eastAsia="zh-CN"/>
        </w:rPr>
        <w:t>捌</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lang w:val="en-US" w:eastAsia="zh-CN"/>
        </w:rPr>
        <w:t>肆</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lang w:val="en-US" w:eastAsia="zh-CN"/>
        </w:rPr>
        <w:t>肆</w:t>
      </w:r>
      <w:r>
        <w:rPr>
          <w:rFonts w:hint="eastAsia" w:ascii="宋体" w:hAnsi="宋体" w:eastAsia="宋体" w:cs="宋体"/>
          <w:bCs/>
          <w:color w:val="auto"/>
          <w:sz w:val="21"/>
          <w:szCs w:val="21"/>
        </w:rPr>
        <w:t>份。</w:t>
      </w:r>
    </w:p>
    <w:p>
      <w:pPr>
        <w:spacing w:line="360" w:lineRule="auto"/>
        <w:rPr>
          <w:rFonts w:hint="eastAsia" w:ascii="宋体" w:hAnsi="宋体" w:eastAsia="宋体" w:cs="宋体"/>
          <w:color w:val="auto"/>
          <w:sz w:val="21"/>
          <w:szCs w:val="21"/>
        </w:rPr>
      </w:pP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发包人：  (公章)                 承包人：  (公章)</w:t>
      </w:r>
    </w:p>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       法定代表人或其委托代理人：</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（签字）                         （签字）</w:t>
      </w:r>
    </w:p>
    <w:p>
      <w:pPr>
        <w:spacing w:line="360" w:lineRule="auto"/>
        <w:rPr>
          <w:rFonts w:hint="eastAsia" w:ascii="宋体" w:hAnsi="宋体" w:eastAsia="宋体" w:cs="宋体"/>
          <w:color w:val="auto"/>
          <w:sz w:val="21"/>
          <w:szCs w:val="21"/>
          <w:u w:val="single"/>
        </w:rPr>
      </w:pPr>
    </w:p>
    <w:p>
      <w:pPr>
        <w:tabs>
          <w:tab w:val="left" w:pos="4410"/>
        </w:tabs>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统一社会信用代码：</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地  址：</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地  址：</w:t>
      </w:r>
      <w:r>
        <w:rPr>
          <w:rFonts w:hint="eastAsia" w:ascii="宋体" w:hAnsi="宋体" w:eastAsia="宋体" w:cs="宋体"/>
          <w:color w:val="auto"/>
          <w:sz w:val="21"/>
          <w:szCs w:val="21"/>
          <w:u w:val="single"/>
        </w:rPr>
        <w:t xml:space="preserve">  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 xml:space="preserve">     邮政编码：</w:t>
      </w:r>
      <w:r>
        <w:rPr>
          <w:rFonts w:hint="eastAsia" w:ascii="宋体" w:hAnsi="宋体" w:eastAsia="宋体" w:cs="宋体"/>
          <w:color w:val="auto"/>
          <w:sz w:val="21"/>
          <w:szCs w:val="21"/>
          <w:u w:val="single"/>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法定代表人：</w:t>
      </w:r>
      <w:r>
        <w:rPr>
          <w:rFonts w:hint="eastAsia" w:ascii="宋体" w:hAnsi="宋体" w:eastAsia="宋体" w:cs="宋体"/>
          <w:color w:val="auto"/>
          <w:sz w:val="21"/>
          <w:szCs w:val="21"/>
          <w:u w:val="single"/>
        </w:rPr>
        <w:t xml:space="preserve">      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委托代理人：</w:t>
      </w:r>
      <w:r>
        <w:rPr>
          <w:rFonts w:hint="eastAsia" w:ascii="宋体" w:hAnsi="宋体" w:eastAsia="宋体" w:cs="宋体"/>
          <w:color w:val="auto"/>
          <w:sz w:val="21"/>
          <w:szCs w:val="21"/>
          <w:u w:val="single"/>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电  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电  话：</w:t>
      </w:r>
      <w:r>
        <w:rPr>
          <w:rFonts w:hint="eastAsia" w:ascii="宋体" w:hAnsi="宋体" w:eastAsia="宋体" w:cs="宋体"/>
          <w:color w:val="auto"/>
          <w:sz w:val="21"/>
          <w:szCs w:val="21"/>
          <w:u w:val="single"/>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传  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传  真：</w:t>
      </w:r>
      <w:r>
        <w:rPr>
          <w:rFonts w:hint="eastAsia" w:ascii="宋体" w:hAnsi="宋体" w:eastAsia="宋体" w:cs="宋体"/>
          <w:color w:val="auto"/>
          <w:sz w:val="21"/>
          <w:szCs w:val="21"/>
          <w:u w:val="single"/>
        </w:rPr>
        <w:t xml:space="preserve">  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开户银行：</w:t>
      </w:r>
      <w:r>
        <w:rPr>
          <w:rFonts w:hint="eastAsia" w:ascii="宋体" w:hAnsi="宋体" w:eastAsia="宋体" w:cs="宋体"/>
          <w:color w:val="auto"/>
          <w:sz w:val="21"/>
          <w:szCs w:val="21"/>
          <w:u w:val="single"/>
        </w:rPr>
        <w:t xml:space="preserve">   </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账  号：</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账  号：</w:t>
      </w:r>
      <w:r>
        <w:rPr>
          <w:rFonts w:hint="eastAsia" w:ascii="宋体" w:hAnsi="宋体" w:eastAsia="宋体" w:cs="宋体"/>
          <w:color w:val="auto"/>
          <w:sz w:val="21"/>
          <w:szCs w:val="21"/>
          <w:u w:val="single"/>
        </w:rPr>
        <w:t xml:space="preserve">     </w:t>
      </w:r>
    </w:p>
    <w:p>
      <w:pPr>
        <w:pStyle w:val="4"/>
        <w:jc w:val="center"/>
        <w:rPr>
          <w:rFonts w:hint="eastAsia" w:ascii="宋体" w:hAnsi="宋体"/>
          <w:color w:val="auto"/>
          <w:sz w:val="36"/>
          <w:szCs w:val="36"/>
        </w:rPr>
      </w:pPr>
      <w:r>
        <w:rPr>
          <w:rFonts w:ascii="宋体" w:hAnsi="宋体"/>
          <w:color w:val="auto"/>
          <w:sz w:val="24"/>
          <w:szCs w:val="24"/>
        </w:rPr>
        <w:br w:type="page"/>
      </w:r>
      <w:bookmarkStart w:id="16" w:name="_Toc160552999"/>
      <w:r>
        <w:rPr>
          <w:rFonts w:ascii="宋体" w:hAnsi="宋体"/>
          <w:color w:val="auto"/>
          <w:sz w:val="36"/>
          <w:szCs w:val="36"/>
        </w:rPr>
        <w:t>第二部分 通用合同条款</w:t>
      </w:r>
      <w:bookmarkEnd w:id="16"/>
      <w:bookmarkStart w:id="17" w:name="_Toc337558727"/>
    </w:p>
    <w:p>
      <w:pPr>
        <w:pStyle w:val="5"/>
        <w:spacing w:before="120" w:after="120" w:line="360" w:lineRule="auto"/>
        <w:rPr>
          <w:rFonts w:hint="eastAsia" w:ascii="宋体" w:hAnsi="宋体" w:eastAsia="宋体" w:cs="宋体"/>
          <w:b w:val="0"/>
          <w:color w:val="auto"/>
          <w:sz w:val="21"/>
          <w:szCs w:val="21"/>
        </w:rPr>
      </w:pPr>
      <w:bookmarkStart w:id="18" w:name="_Toc160553000"/>
      <w:r>
        <w:rPr>
          <w:rFonts w:hint="eastAsia" w:ascii="宋体" w:hAnsi="宋体" w:eastAsia="宋体" w:cs="宋体"/>
          <w:b w:val="0"/>
          <w:color w:val="auto"/>
          <w:sz w:val="21"/>
          <w:szCs w:val="21"/>
        </w:rPr>
        <w:t>1.</w:t>
      </w:r>
      <w:bookmarkStart w:id="19" w:name="_Toc303538972"/>
      <w:bookmarkEnd w:id="19"/>
      <w:bookmarkStart w:id="20" w:name="_Toc303538974"/>
      <w:bookmarkEnd w:id="20"/>
      <w:bookmarkStart w:id="21" w:name="_Toc303538973"/>
      <w:bookmarkEnd w:id="21"/>
      <w:bookmarkStart w:id="22" w:name="_Toc303538976"/>
      <w:bookmarkEnd w:id="22"/>
      <w:bookmarkStart w:id="23" w:name="_Toc303538975"/>
      <w:bookmarkEnd w:id="23"/>
      <w:bookmarkStart w:id="24" w:name="_Toc296346528"/>
      <w:bookmarkStart w:id="25" w:name="_Toc296503027"/>
      <w:r>
        <w:rPr>
          <w:rFonts w:hint="eastAsia" w:ascii="宋体" w:hAnsi="宋体" w:eastAsia="宋体" w:cs="宋体"/>
          <w:b w:val="0"/>
          <w:color w:val="auto"/>
          <w:sz w:val="21"/>
          <w:szCs w:val="21"/>
        </w:rPr>
        <w:t xml:space="preserve"> 一般约定</w:t>
      </w:r>
      <w:bookmarkEnd w:id="17"/>
      <w:bookmarkEnd w:id="18"/>
      <w:bookmarkEnd w:id="24"/>
      <w:bookmarkEnd w:id="25"/>
    </w:p>
    <w:p>
      <w:pPr>
        <w:pStyle w:val="6"/>
        <w:spacing w:before="120" w:after="120" w:line="360" w:lineRule="auto"/>
        <w:ind w:firstLine="420" w:firstLineChars="200"/>
        <w:rPr>
          <w:rFonts w:hint="eastAsia" w:ascii="宋体" w:hAnsi="宋体" w:eastAsia="宋体" w:cs="宋体"/>
          <w:b w:val="0"/>
          <w:color w:val="auto"/>
          <w:sz w:val="21"/>
          <w:szCs w:val="21"/>
        </w:rPr>
      </w:pPr>
      <w:bookmarkStart w:id="26" w:name="_Toc296346529"/>
      <w:bookmarkStart w:id="27" w:name="_Toc337558728"/>
      <w:bookmarkStart w:id="28" w:name="_Toc296503028"/>
      <w:bookmarkStart w:id="29" w:name="_Toc160553001"/>
      <w:r>
        <w:rPr>
          <w:rFonts w:hint="eastAsia" w:ascii="宋体" w:hAnsi="宋体" w:eastAsia="宋体" w:cs="宋体"/>
          <w:b w:val="0"/>
          <w:color w:val="auto"/>
          <w:sz w:val="21"/>
          <w:szCs w:val="21"/>
        </w:rPr>
        <w:t>1.1词语定义</w:t>
      </w:r>
      <w:bookmarkEnd w:id="26"/>
      <w:bookmarkEnd w:id="27"/>
      <w:bookmarkEnd w:id="28"/>
      <w:r>
        <w:rPr>
          <w:rFonts w:hint="eastAsia" w:ascii="宋体" w:hAnsi="宋体" w:eastAsia="宋体" w:cs="宋体"/>
          <w:b w:val="0"/>
          <w:color w:val="auto"/>
          <w:sz w:val="21"/>
          <w:szCs w:val="21"/>
        </w:rPr>
        <w:t>与解释</w:t>
      </w:r>
      <w:bookmarkEnd w:id="29"/>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合同协议书、通用合同条款、专用合同条款中的下列词语具有本款所赋予的含义：</w:t>
      </w:r>
    </w:p>
    <w:p>
      <w:pPr>
        <w:autoSpaceDE w:val="0"/>
        <w:autoSpaceDN w:val="0"/>
        <w:adjustRightInd w:val="0"/>
        <w:spacing w:line="360" w:lineRule="auto"/>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1.1.1 合同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auto"/>
          <w:sz w:val="21"/>
          <w:szCs w:val="21"/>
        </w:rPr>
        <w:t>及其附件</w:t>
      </w:r>
      <w:r>
        <w:rPr>
          <w:rFonts w:hint="eastAsia" w:ascii="宋体" w:hAnsi="宋体" w:eastAsia="宋体" w:cs="宋体"/>
          <w:color w:val="auto"/>
          <w:kern w:val="0"/>
          <w:sz w:val="21"/>
          <w:szCs w:val="21"/>
        </w:rPr>
        <w:t>、通用合同条款、技术标准和要求、图纸、已标价工程量清单或预算书以及其他合同文件。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1.1.1.2 合同协议书：是指构成合同的由发包人和承包人共同签署的称为“合同协议书”的书面文件。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1.1.1.3 中标通知书：是指构成合同的由发包人通知承包人中标的书面文件。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1.1.1.4 投标函：是指构成合同的由承包人填写并签署的用于投标的称为“投标函”的文件。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1.1.1.5 投标函附录：是指构成合同的附在投标函后的称为“投标函附录”的文件。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1.1.1.6 技术标准和要求：是指构成合同的施工应当遵守的或指导施工的国家、行业或地方的技术标准和要求，以及合同约定的技术标准和要求。</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1.1.1.7 图纸：是指构成合同的图纸，包括由发包人按照合同约定提供或经发包人批准的设计文件、施工图、鸟瞰图及模型等，以及在合同履行过程中形成的图纸文件。图纸应当按照法律规定审查合格。</w:t>
      </w:r>
    </w:p>
    <w:p>
      <w:pPr>
        <w:autoSpaceDE w:val="0"/>
        <w:autoSpaceDN w:val="0"/>
        <w:adjustRightInd w:val="0"/>
        <w:spacing w:line="360" w:lineRule="auto"/>
        <w:ind w:firstLine="409" w:firstLineChars="195"/>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1.1.1.8 已标价工程量清单：是指构成合同的由承包人按照规定的格式和要求填写并标明价格的工程量清单，包括说明和表格。</w:t>
      </w:r>
    </w:p>
    <w:p>
      <w:pPr>
        <w:autoSpaceDE w:val="0"/>
        <w:autoSpaceDN w:val="0"/>
        <w:adjustRightInd w:val="0"/>
        <w:spacing w:line="360" w:lineRule="auto"/>
        <w:ind w:firstLine="409" w:firstLineChars="195"/>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1.1.1.9 预算书：是指构成合同的由承包人按照发包人规定的格式和要求编制的工程预算文件。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1.1.1.10 其他合同文件：是指经合同当事人约定的与工程施工有关的具有合同约束力的文件或书面协议。合同当事人可以在专用合同条款中进行约定。</w:t>
      </w:r>
    </w:p>
    <w:p>
      <w:pPr>
        <w:autoSpaceDE w:val="0"/>
        <w:autoSpaceDN w:val="0"/>
        <w:adjustRightInd w:val="0"/>
        <w:spacing w:line="360" w:lineRule="auto"/>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1.1.2 合同当事人及其他相关方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1.1.2.1 合同当事人：是指发包人和（或）承包人。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1.1.2.2 发包人：是指与承包人签订合同协议书的当事人及取得该当事人资格的合法继承人。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1.1.2.3 承包人：是指与发包人签订合同协议书的，具有相应工程施工承包资质的当事人及取得该当事人资格的合法继承人。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1.1.2.4 监理人：是指在专用合同条款中指明的，受发包人委托按照法律规定进行工程监督管理的法人或其他组织。</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1.1.2.5 设计人：是指在专用合同条款中指明的，受发包人委托负责工程设计并具备相应工程设计资质的法人或其他组织。</w:t>
      </w:r>
    </w:p>
    <w:p>
      <w:pPr>
        <w:spacing w:line="360" w:lineRule="auto"/>
        <w:ind w:firstLine="409" w:firstLineChars="195"/>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1.1.2.6 分包人：</w:t>
      </w:r>
      <w:bookmarkStart w:id="30" w:name="#go5"/>
      <w:bookmarkEnd w:id="30"/>
      <w:r>
        <w:rPr>
          <w:rFonts w:hint="eastAsia" w:ascii="宋体" w:hAnsi="宋体" w:eastAsia="宋体" w:cs="宋体"/>
          <w:color w:val="auto"/>
          <w:kern w:val="0"/>
          <w:sz w:val="21"/>
          <w:szCs w:val="21"/>
        </w:rPr>
        <w:t>是指按照法律规定和合同约定，分包部分工程或工作，并与承包人签订分包合同的具有相应资质的法人。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1.1.2.7 发包人代表：是指由发包人任命并派驻施工现场在发包人授权范围内行使发包人权利的人。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1.1.2.8 项目经理：是指由承包人任命并派驻施工现场，在承包人授权范围内负责合同履行，且按照法律规定具有相应资格的项目负责人。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1.1.2.9 总监理工程师：是指由监理人任命并派驻施工现场进行工程监理的总负责人。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 工程和设备</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1.1.3.1 工程：是指与合同协议书中工程承包范围对应的永久工程和（或）临时工程。</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1.1.3.2 永久工程：是指按合同约定建造并移交给发包人的工程，包括工程设备。</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1.1.3.3 临时工程：是指为完成合同约定的永久工程所修建的各类临时性工程，不包括施工设备。</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1.1.3.4 单位工程：是指在合同协议书中指明的，具备独立施工条件并能形成独立使用功能的永久工程。</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1.1.3.5 工程设备：是指构成永久工程的机电设备、金属结构设备、仪器及其他类似的设备和装置。</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1.1.3.6 施工设备：是指为完成合同约定的各项工作所需的设备、器具和其他物品，但不包括工程设备、临时工程和材料。</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1.1.3.7 施工现场：是指用于工程施工的场所，以及在专用合同条款中指明作为施工场所组成部分的其他场所，包括永久占地和临时占地。</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1.1.3.8临时设施：是指为完成合同约定的各项工作所服务的临时性生产和生活设施。</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1.1.3.9 永久占地：是指专用合同条款中指明为实施工程需永久占用的土地。</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1.1.3.10 临时占地：是指专用合同条款中指明为实施工程需要临时占用的土地。</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1.1.4 日期和期限</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1.1.4.2 竣工日期：包括计划竣工日期和实际竣工日期。计划竣工日期是指合同协议书约定的竣工日期；实际竣工日期按照第13.2.3项〔竣工日期〕的约定确定。 </w:t>
      </w:r>
    </w:p>
    <w:p>
      <w:pPr>
        <w:spacing w:line="360" w:lineRule="auto"/>
        <w:ind w:firstLine="426" w:firstLineChars="203"/>
        <w:rPr>
          <w:rFonts w:hint="eastAsia" w:ascii="宋体" w:hAnsi="宋体" w:eastAsia="宋体" w:cs="宋体"/>
          <w:color w:val="auto"/>
          <w:sz w:val="21"/>
          <w:szCs w:val="21"/>
        </w:rPr>
      </w:pPr>
      <w:r>
        <w:rPr>
          <w:rFonts w:hint="eastAsia" w:ascii="宋体" w:hAnsi="宋体" w:eastAsia="宋体" w:cs="宋体"/>
          <w:color w:val="auto"/>
          <w:kern w:val="0"/>
          <w:sz w:val="21"/>
          <w:szCs w:val="21"/>
        </w:rPr>
        <w:t>1.1.4.3 工期：是指在合同协议书约定的承包人完成工程所需的期限，包括按照合同约定所作的期限变更。</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1.1.4.4 缺陷责任期：是指承包人按照合同约定承担缺陷修复义务，且发包人预留质量保证金（已缴纳履约保证金的除外）的期限，自工程实际竣工日期起计算。</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1.1.4.5 保修期：是指承包人按照合同约定对工程承担保修责任的期限，从工程竣工验收合格之日起计算。</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1.1.4.6 基准日期：招标发包的工程以投标截止日前28天的日期为基准日期，直接发包的工程以合同签订日前28天的日期为基准日期。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1.1.4.7 天：除特别指明外，均指日历天。合同中按天计算时间的，开始当天不计入，从次日开始计算，期限最后一天的截止时间为当天24:00时。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 合同价格和费用</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1.1.5.1 签约合同价：是指</w:t>
      </w:r>
      <w:r>
        <w:rPr>
          <w:rFonts w:hint="eastAsia" w:ascii="宋体" w:hAnsi="宋体" w:eastAsia="宋体" w:cs="宋体"/>
          <w:color w:val="auto"/>
          <w:sz w:val="21"/>
          <w:szCs w:val="21"/>
        </w:rPr>
        <w:t>发包人和承包人在合同协议书中确定的总金额，包括安全文明施工费、暂估价及暂列金额等。</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1.1.5.2 合同价格：是指发包人用于支付承包人按照合同约定完成承包范围内全部工作的金额，包括合同履行过程中按合同约定发生的价格变化。</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1.1.5.3 费用：是指为履行合同所发生的或将要发生的所有必需的开支，包括管理费和应分摊的其他费用，但不包括利润。</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1.1.5.4 暂估价：是指发包人在工程量清单或预算书中提供的用于支付必然发生但暂时不能确定价格的材料、工程设备的单价、专业工程以及服务工作的金额。</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1.1.5.6 计日工：是指合同履行过程中，承包人完成发包人提出的零星工作或需要采用计日工计价的变更工作时，按合同中约定的单价计价的一种方式。</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1.1.5.7 质量保证金</w:t>
      </w:r>
      <w:bookmarkStart w:id="31" w:name="#go2"/>
      <w:bookmarkEnd w:id="31"/>
      <w:r>
        <w:rPr>
          <w:rFonts w:hint="eastAsia" w:ascii="宋体" w:hAnsi="宋体" w:eastAsia="宋体" w:cs="宋体"/>
          <w:color w:val="auto"/>
          <w:kern w:val="0"/>
          <w:sz w:val="21"/>
          <w:szCs w:val="21"/>
        </w:rPr>
        <w:t>：是指按照第15.3款〔质量保证金〕约定承包人用于保证其在缺陷责任期内履行缺陷修补义务的担保</w:t>
      </w:r>
      <w:r>
        <w:rPr>
          <w:rFonts w:hint="eastAsia" w:ascii="宋体" w:hAnsi="宋体" w:eastAsia="宋体" w:cs="宋体"/>
          <w:color w:val="auto"/>
          <w:sz w:val="21"/>
          <w:szCs w:val="21"/>
        </w:rPr>
        <w:t>。</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1.1.5.8 总价项目：是指在现行国家、行业以及地方的计量规则中无工程量计算规则，在已标价工程量清单或预算书中以总价或以费率形式计算的项目。</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1.1.6 其他</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1.1.6.1 书面形式：是指合同文件、信函、电报、传真等可以有形地表现所载内容的形式。</w:t>
      </w:r>
    </w:p>
    <w:p>
      <w:pPr>
        <w:pStyle w:val="6"/>
        <w:spacing w:before="120" w:after="120" w:line="360" w:lineRule="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32" w:name="_Toc296503029"/>
      <w:bookmarkStart w:id="33" w:name="_Toc160553002"/>
      <w:bookmarkStart w:id="34" w:name="_Toc337558729"/>
      <w:bookmarkStart w:id="35" w:name="_Toc296346530"/>
      <w:r>
        <w:rPr>
          <w:rFonts w:hint="eastAsia" w:ascii="宋体" w:hAnsi="宋体" w:eastAsia="宋体" w:cs="宋体"/>
          <w:b w:val="0"/>
          <w:color w:val="auto"/>
          <w:sz w:val="21"/>
          <w:szCs w:val="21"/>
        </w:rPr>
        <w:t>1.2语言文字</w:t>
      </w:r>
      <w:bookmarkEnd w:id="32"/>
      <w:bookmarkEnd w:id="33"/>
      <w:bookmarkEnd w:id="34"/>
      <w:bookmarkEnd w:id="35"/>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合同以中国的汉语简体文字编写、解释和说明。合同当事人在专用合同条款中约定使用两种以上语言时，汉语为优先解释和说明合同的语言。</w:t>
      </w:r>
    </w:p>
    <w:p>
      <w:pPr>
        <w:pStyle w:val="6"/>
        <w:spacing w:before="120" w:after="120" w:line="360" w:lineRule="auto"/>
        <w:ind w:firstLine="420" w:firstLineChars="200"/>
        <w:rPr>
          <w:rFonts w:hint="eastAsia" w:ascii="宋体" w:hAnsi="宋体" w:eastAsia="宋体" w:cs="宋体"/>
          <w:b w:val="0"/>
          <w:color w:val="auto"/>
          <w:sz w:val="21"/>
          <w:szCs w:val="21"/>
        </w:rPr>
      </w:pPr>
      <w:bookmarkStart w:id="36" w:name="_Toc337558730"/>
      <w:bookmarkStart w:id="37" w:name="_Toc296346531"/>
      <w:bookmarkStart w:id="38" w:name="_Toc296503030"/>
      <w:bookmarkStart w:id="39" w:name="_Toc160553003"/>
      <w:r>
        <w:rPr>
          <w:rFonts w:hint="eastAsia" w:ascii="宋体" w:hAnsi="宋体" w:eastAsia="宋体" w:cs="宋体"/>
          <w:b w:val="0"/>
          <w:color w:val="auto"/>
          <w:sz w:val="21"/>
          <w:szCs w:val="21"/>
        </w:rPr>
        <w:t>1.3法律</w:t>
      </w:r>
      <w:bookmarkEnd w:id="36"/>
      <w:bookmarkEnd w:id="37"/>
      <w:bookmarkEnd w:id="38"/>
      <w:bookmarkEnd w:id="39"/>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合同所称法律是指中华人民共和国法律、行政法规、部门规章，以及工程所在地的地方性法规、自治条例、单行条例和地方政府规章等。</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合同当事人可以在专用合同条款中约定合同适用的其他规范性文件。</w:t>
      </w:r>
    </w:p>
    <w:p>
      <w:pPr>
        <w:pStyle w:val="6"/>
        <w:spacing w:before="120" w:after="120" w:line="360" w:lineRule="auto"/>
        <w:ind w:firstLine="420" w:firstLineChars="200"/>
        <w:rPr>
          <w:rFonts w:hint="eastAsia" w:ascii="宋体" w:hAnsi="宋体" w:eastAsia="宋体" w:cs="宋体"/>
          <w:b w:val="0"/>
          <w:color w:val="auto"/>
          <w:sz w:val="21"/>
          <w:szCs w:val="21"/>
        </w:rPr>
      </w:pPr>
      <w:bookmarkStart w:id="40" w:name="_Toc160553004"/>
      <w:r>
        <w:rPr>
          <w:rFonts w:hint="eastAsia" w:ascii="宋体" w:hAnsi="宋体" w:eastAsia="宋体" w:cs="宋体"/>
          <w:b w:val="0"/>
          <w:color w:val="auto"/>
          <w:sz w:val="21"/>
          <w:szCs w:val="21"/>
        </w:rPr>
        <w:t>1.4 标准和规范</w:t>
      </w:r>
      <w:bookmarkEnd w:id="40"/>
    </w:p>
    <w:p>
      <w:pPr>
        <w:autoSpaceDE w:val="0"/>
        <w:autoSpaceDN w:val="0"/>
        <w:adjustRightInd w:val="0"/>
        <w:spacing w:line="360" w:lineRule="auto"/>
        <w:ind w:firstLine="64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1.4.1 适用于工程的国家标准、行业标准、工程所在地的地方性标准，以及相应的规范、规程等，合同当事人有特别要求的，应在专用合同条款中约定。</w:t>
      </w:r>
    </w:p>
    <w:p>
      <w:pPr>
        <w:autoSpaceDE w:val="0"/>
        <w:autoSpaceDN w:val="0"/>
        <w:adjustRightInd w:val="0"/>
        <w:spacing w:line="360" w:lineRule="auto"/>
        <w:ind w:firstLine="64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1.4.2 发包人要求使用国外标准、规范的，发包人负责提供原文版本和中文译本，并在专用合同条款中约定提供标准规范的名称、份数和时间。</w:t>
      </w:r>
    </w:p>
    <w:p>
      <w:pPr>
        <w:autoSpaceDE w:val="0"/>
        <w:autoSpaceDN w:val="0"/>
        <w:adjustRightInd w:val="0"/>
        <w:spacing w:line="360" w:lineRule="auto"/>
        <w:ind w:firstLine="64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6"/>
        <w:spacing w:before="120" w:after="120" w:line="360" w:lineRule="auto"/>
        <w:ind w:firstLine="420" w:firstLineChars="200"/>
        <w:rPr>
          <w:rFonts w:hint="eastAsia" w:ascii="宋体" w:hAnsi="宋体" w:eastAsia="宋体" w:cs="宋体"/>
          <w:b w:val="0"/>
          <w:color w:val="auto"/>
          <w:sz w:val="21"/>
          <w:szCs w:val="21"/>
        </w:rPr>
      </w:pPr>
      <w:bookmarkStart w:id="41" w:name="_Toc160553005"/>
      <w:r>
        <w:rPr>
          <w:rFonts w:hint="eastAsia" w:ascii="宋体" w:hAnsi="宋体" w:eastAsia="宋体" w:cs="宋体"/>
          <w:b w:val="0"/>
          <w:color w:val="auto"/>
          <w:sz w:val="21"/>
          <w:szCs w:val="21"/>
        </w:rPr>
        <w:t>1</w:t>
      </w:r>
      <w:bookmarkStart w:id="42" w:name="_Toc296346532"/>
      <w:bookmarkStart w:id="43" w:name="_Toc296503031"/>
      <w:bookmarkStart w:id="44" w:name="_Toc337558731"/>
      <w:r>
        <w:rPr>
          <w:rFonts w:hint="eastAsia" w:ascii="宋体" w:hAnsi="宋体" w:eastAsia="宋体" w:cs="宋体"/>
          <w:b w:val="0"/>
          <w:color w:val="auto"/>
          <w:sz w:val="21"/>
          <w:szCs w:val="21"/>
        </w:rPr>
        <w:t>.5 合同文件的优先顺序</w:t>
      </w:r>
      <w:bookmarkEnd w:id="41"/>
    </w:p>
    <w:bookmarkEnd w:id="42"/>
    <w:bookmarkEnd w:id="43"/>
    <w:bookmarkEnd w:id="4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组成合同的各项文件应互相解释，互为说明。除专用合同条款另有约定外，解释合同文件的优先顺序如下：</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（1）合同协议书；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（2）中标通知书（如果有）；</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（3）投标函及其附录（如果有）；</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（4）专用合同条款</w:t>
      </w:r>
      <w:r>
        <w:rPr>
          <w:rFonts w:hint="eastAsia" w:ascii="宋体" w:hAnsi="宋体" w:eastAsia="宋体" w:cs="宋体"/>
          <w:color w:val="auto"/>
          <w:sz w:val="21"/>
          <w:szCs w:val="21"/>
        </w:rPr>
        <w:t>及其附件</w:t>
      </w:r>
      <w:r>
        <w:rPr>
          <w:rFonts w:hint="eastAsia" w:ascii="宋体" w:hAnsi="宋体" w:eastAsia="宋体" w:cs="宋体"/>
          <w:color w:val="auto"/>
          <w:kern w:val="0"/>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（5）通用合同条款；</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（6）技术标准和要求；</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（7）图纸；</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（8）已标价工程量清单或预算书；</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（9）其他合同文件。</w:t>
      </w:r>
    </w:p>
    <w:p>
      <w:pPr>
        <w:spacing w:line="360" w:lineRule="auto"/>
        <w:ind w:firstLine="447" w:firstLineChars="213"/>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w:t>
      </w:r>
    </w:p>
    <w:p>
      <w:pPr>
        <w:spacing w:line="360" w:lineRule="auto"/>
        <w:ind w:firstLine="447" w:firstLineChars="213"/>
        <w:rPr>
          <w:rFonts w:hint="eastAsia"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在合同订立及履行过程中形成的与合同有关的文件均构成合同文件组成部分，并根据其性质确定优先解释顺序。</w:t>
      </w:r>
    </w:p>
    <w:p>
      <w:pPr>
        <w:pStyle w:val="6"/>
        <w:spacing w:before="120" w:after="120" w:line="360" w:lineRule="auto"/>
        <w:ind w:firstLine="420" w:firstLineChars="200"/>
        <w:rPr>
          <w:rFonts w:hint="eastAsia" w:ascii="宋体" w:hAnsi="宋体" w:eastAsia="宋体" w:cs="宋体"/>
          <w:b w:val="0"/>
          <w:color w:val="auto"/>
          <w:sz w:val="21"/>
          <w:szCs w:val="21"/>
        </w:rPr>
      </w:pPr>
      <w:bookmarkStart w:id="45" w:name="_Toc160553006"/>
      <w:r>
        <w:rPr>
          <w:rFonts w:hint="eastAsia" w:ascii="宋体" w:hAnsi="宋体" w:eastAsia="宋体" w:cs="宋体"/>
          <w:b w:val="0"/>
          <w:color w:val="auto"/>
          <w:sz w:val="21"/>
          <w:szCs w:val="21"/>
        </w:rPr>
        <w:t>1</w:t>
      </w:r>
      <w:bookmarkStart w:id="46" w:name="_Toc337558732"/>
      <w:bookmarkStart w:id="47" w:name="_Toc296503032"/>
      <w:bookmarkStart w:id="48" w:name="_Toc296346533"/>
      <w:r>
        <w:rPr>
          <w:rFonts w:hint="eastAsia" w:ascii="宋体" w:hAnsi="宋体" w:eastAsia="宋体" w:cs="宋体"/>
          <w:b w:val="0"/>
          <w:color w:val="auto"/>
          <w:sz w:val="21"/>
          <w:szCs w:val="21"/>
        </w:rPr>
        <w:t>.6图纸和承包人文件</w:t>
      </w:r>
      <w:bookmarkEnd w:id="45"/>
    </w:p>
    <w:bookmarkEnd w:id="46"/>
    <w:bookmarkEnd w:id="47"/>
    <w:bookmarkEnd w:id="48"/>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1.6.1 图纸的提供和交底</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因发包人未按合同约定提供图纸导致承包人费用增加和（或）工期延误的，按照第7.5.1项〔因发包人原因导致工期延误〕约定办理。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 图纸的错误</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1.6.3 图纸的修改和补充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图纸需要修改和补充的，应经图纸原设计人及审批部门同意，并由监理人在工程或工程相应部位施工前将修改后的图纸或补充图纸提交给承包人，承包人应按修改或补充后的图纸施工。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1.6.4 承包人文件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承包人应按照专用合同条款的约定提供应当由其编制的与工程施工有关的文件，并按照专用合同条款约定的期限、数量和形式提交监理人，并由监理人报送发包人。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1.6.5 图纸和承包人文件的保管</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除专用合同条款另有约定外，承包人应在施工现场另外保存一套完整的图纸和承包人文件，供发包人、监理人及有关人员进行工程检查时使用。</w:t>
      </w:r>
    </w:p>
    <w:p>
      <w:pPr>
        <w:pStyle w:val="6"/>
        <w:spacing w:before="120" w:after="120" w:line="360" w:lineRule="auto"/>
        <w:ind w:firstLine="420" w:firstLineChars="200"/>
        <w:rPr>
          <w:rFonts w:hint="eastAsia" w:ascii="宋体" w:hAnsi="宋体" w:eastAsia="宋体" w:cs="宋体"/>
          <w:b w:val="0"/>
          <w:color w:val="auto"/>
          <w:sz w:val="21"/>
          <w:szCs w:val="21"/>
        </w:rPr>
      </w:pPr>
      <w:bookmarkStart w:id="49" w:name="_Toc160553007"/>
      <w:r>
        <w:rPr>
          <w:rFonts w:hint="eastAsia" w:ascii="宋体" w:hAnsi="宋体" w:eastAsia="宋体" w:cs="宋体"/>
          <w:b w:val="0"/>
          <w:color w:val="auto"/>
          <w:sz w:val="21"/>
          <w:szCs w:val="21"/>
        </w:rPr>
        <w:t>1</w:t>
      </w:r>
      <w:bookmarkStart w:id="50" w:name="_Toc296503033"/>
      <w:bookmarkStart w:id="51" w:name="_Toc337558733"/>
      <w:bookmarkStart w:id="52" w:name="_Toc296346534"/>
      <w:r>
        <w:rPr>
          <w:rFonts w:hint="eastAsia" w:ascii="宋体" w:hAnsi="宋体" w:eastAsia="宋体" w:cs="宋体"/>
          <w:b w:val="0"/>
          <w:color w:val="auto"/>
          <w:sz w:val="21"/>
          <w:szCs w:val="21"/>
        </w:rPr>
        <w:t>.7联络</w:t>
      </w:r>
      <w:bookmarkEnd w:id="49"/>
    </w:p>
    <w:bookmarkEnd w:id="50"/>
    <w:bookmarkEnd w:id="51"/>
    <w:bookmarkEnd w:id="52"/>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1.7.1 与合同有关的通知、批准、证明、证书、指示、指令、要求、请求、同意、意见、确定和决定等，均应采用书面形式，并应在合同约定的期限内送达接收人和送达地点。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1.7.2 发包人和承包人应在专用合同条款中约定各自的送达接收人和送达地点。任何一方合同当事人指定的接收人或送达地点发生变动的，应提前3天以书面形式通知对方。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1.7.3 发包人和承包人应当及时签收另一方送达至送达地点和指定接收人的来往信函。拒不签收的，由此增加的费用和（或）延误的工期由拒绝接收一方承担。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53" w:name="_Toc160553008"/>
      <w:r>
        <w:rPr>
          <w:rFonts w:hint="eastAsia" w:ascii="宋体" w:hAnsi="宋体" w:eastAsia="宋体" w:cs="宋体"/>
          <w:b w:val="0"/>
          <w:color w:val="auto"/>
          <w:sz w:val="21"/>
          <w:szCs w:val="21"/>
        </w:rPr>
        <w:t>1</w:t>
      </w:r>
      <w:bookmarkStart w:id="54" w:name="_Toc296503035"/>
      <w:bookmarkStart w:id="55" w:name="_Toc337558734"/>
      <w:bookmarkStart w:id="56" w:name="_Toc296346536"/>
      <w:r>
        <w:rPr>
          <w:rFonts w:hint="eastAsia" w:ascii="宋体" w:hAnsi="宋体" w:eastAsia="宋体" w:cs="宋体"/>
          <w:b w:val="0"/>
          <w:color w:val="auto"/>
          <w:sz w:val="21"/>
          <w:szCs w:val="21"/>
        </w:rPr>
        <w:t>.8严禁贿赂</w:t>
      </w:r>
      <w:bookmarkEnd w:id="53"/>
    </w:p>
    <w:bookmarkEnd w:id="54"/>
    <w:bookmarkEnd w:id="55"/>
    <w:bookmarkEnd w:id="56"/>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合同当事人不得以贿赂或变相贿赂的方式，谋取非法利益或损害对方权益。因一方合同当事人的贿赂造成对方损失的，应赔偿损失，并承担相应的法律责任。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6"/>
        <w:spacing w:before="120" w:after="120" w:line="360" w:lineRule="auto"/>
        <w:ind w:firstLine="420" w:firstLineChars="200"/>
        <w:rPr>
          <w:rFonts w:hint="eastAsia" w:ascii="宋体" w:hAnsi="宋体" w:eastAsia="宋体" w:cs="宋体"/>
          <w:b w:val="0"/>
          <w:color w:val="auto"/>
          <w:sz w:val="21"/>
          <w:szCs w:val="21"/>
        </w:rPr>
      </w:pPr>
      <w:bookmarkStart w:id="57" w:name="_Toc160553009"/>
      <w:r>
        <w:rPr>
          <w:rFonts w:hint="eastAsia" w:ascii="宋体" w:hAnsi="宋体" w:eastAsia="宋体" w:cs="宋体"/>
          <w:b w:val="0"/>
          <w:color w:val="auto"/>
          <w:sz w:val="21"/>
          <w:szCs w:val="21"/>
        </w:rPr>
        <w:t>1</w:t>
      </w:r>
      <w:bookmarkStart w:id="58" w:name="_Toc337558735"/>
      <w:bookmarkStart w:id="59" w:name="_Toc296503036"/>
      <w:bookmarkStart w:id="60" w:name="_Toc296346537"/>
      <w:r>
        <w:rPr>
          <w:rFonts w:hint="eastAsia" w:ascii="宋体" w:hAnsi="宋体" w:eastAsia="宋体" w:cs="宋体"/>
          <w:b w:val="0"/>
          <w:color w:val="auto"/>
          <w:sz w:val="21"/>
          <w:szCs w:val="21"/>
        </w:rPr>
        <w:t>.9化石、文物</w:t>
      </w:r>
      <w:bookmarkEnd w:id="57"/>
    </w:p>
    <w:bookmarkEnd w:id="58"/>
    <w:bookmarkEnd w:id="59"/>
    <w:bookmarkEnd w:id="6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发包人、监理人和承包人应按有关政府行政管理部门要求采取妥善的保护措施，由此增加的费用和（或）延误的工期由发包人承担。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承包人发现文物后不及时报告或隐瞒不报，致使文物丢失或损坏的，应赔偿损失，并承担相应的法律责任。</w:t>
      </w:r>
    </w:p>
    <w:p>
      <w:pPr>
        <w:pStyle w:val="6"/>
        <w:spacing w:before="120" w:after="120" w:line="360" w:lineRule="auto"/>
        <w:ind w:firstLine="420" w:firstLineChars="200"/>
        <w:rPr>
          <w:rFonts w:hint="eastAsia" w:ascii="宋体" w:hAnsi="宋体" w:eastAsia="宋体" w:cs="宋体"/>
          <w:b w:val="0"/>
          <w:color w:val="auto"/>
          <w:sz w:val="21"/>
          <w:szCs w:val="21"/>
        </w:rPr>
      </w:pPr>
      <w:bookmarkStart w:id="61" w:name="_Toc160553010"/>
      <w:r>
        <w:rPr>
          <w:rFonts w:hint="eastAsia" w:ascii="宋体" w:hAnsi="宋体" w:eastAsia="宋体" w:cs="宋体"/>
          <w:b w:val="0"/>
          <w:color w:val="auto"/>
          <w:sz w:val="21"/>
          <w:szCs w:val="21"/>
        </w:rPr>
        <w:t>1</w:t>
      </w:r>
      <w:bookmarkStart w:id="62" w:name="_Toc337558736"/>
      <w:r>
        <w:rPr>
          <w:rFonts w:hint="eastAsia" w:ascii="宋体" w:hAnsi="宋体" w:eastAsia="宋体" w:cs="宋体"/>
          <w:b w:val="0"/>
          <w:color w:val="auto"/>
          <w:sz w:val="21"/>
          <w:szCs w:val="21"/>
        </w:rPr>
        <w:t>.10交通运输</w:t>
      </w:r>
      <w:bookmarkEnd w:id="61"/>
    </w:p>
    <w:bookmarkEnd w:id="62"/>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1.10.1 出入现场的权利</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承包人应在订立合同前查勘施工现场，并根据工程规模及技术参数合理预见工程施工所需的进出施工现场的方式、手段、路径等。因承包人未合理预见所增加的费用和（或）延误的工期由承包人承担。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1.10.2 场外交通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1.10.3场内交通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场外交通和场内交通的边界由合同当事人在专用合同条款中约定。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1.10.4 超大件和超重件的运输</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1.10.5 道路和桥梁的损坏责任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因承包人运输造成施工场地内外公共道路和桥梁损坏的，由承包人承担修复损坏的全部费用和可能引起的赔偿。</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1.10.6 水路和航空运输</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本款前述各项的内容适用于水路运输和航空运输，其中“道路”一词的涵义包括河道、航线、船闸、机场、码头、堤防以及水路或航空运输中其他相似结构物；“车辆”一词的涵义包括船舶和飞机等。</w:t>
      </w:r>
    </w:p>
    <w:p>
      <w:pPr>
        <w:pStyle w:val="6"/>
        <w:spacing w:before="120" w:after="120" w:line="360" w:lineRule="auto"/>
        <w:ind w:firstLine="420" w:firstLineChars="200"/>
        <w:rPr>
          <w:rFonts w:hint="eastAsia" w:ascii="宋体" w:hAnsi="宋体" w:eastAsia="宋体" w:cs="宋体"/>
          <w:b w:val="0"/>
          <w:color w:val="auto"/>
          <w:sz w:val="21"/>
          <w:szCs w:val="21"/>
        </w:rPr>
      </w:pPr>
      <w:bookmarkStart w:id="63" w:name="_Toc160553011"/>
      <w:r>
        <w:rPr>
          <w:rFonts w:hint="eastAsia" w:ascii="宋体" w:hAnsi="宋体" w:eastAsia="宋体" w:cs="宋体"/>
          <w:b w:val="0"/>
          <w:color w:val="auto"/>
          <w:sz w:val="21"/>
          <w:szCs w:val="21"/>
        </w:rPr>
        <w:t>1</w:t>
      </w:r>
      <w:bookmarkStart w:id="64" w:name="_Toc337558737"/>
      <w:bookmarkStart w:id="65" w:name="_Toc296346538"/>
      <w:bookmarkStart w:id="66" w:name="_Toc296503037"/>
      <w:r>
        <w:rPr>
          <w:rFonts w:hint="eastAsia" w:ascii="宋体" w:hAnsi="宋体" w:eastAsia="宋体" w:cs="宋体"/>
          <w:b w:val="0"/>
          <w:color w:val="auto"/>
          <w:sz w:val="21"/>
          <w:szCs w:val="21"/>
        </w:rPr>
        <w:t>.11知识产权</w:t>
      </w:r>
      <w:bookmarkEnd w:id="63"/>
      <w:r>
        <w:rPr>
          <w:rFonts w:hint="eastAsia" w:ascii="宋体" w:hAnsi="宋体" w:eastAsia="宋体" w:cs="宋体"/>
          <w:b w:val="0"/>
          <w:color w:val="auto"/>
          <w:sz w:val="21"/>
          <w:szCs w:val="21"/>
        </w:rPr>
        <w:t xml:space="preserve"> </w:t>
      </w:r>
      <w:bookmarkEnd w:id="64"/>
    </w:p>
    <w:bookmarkEnd w:id="65"/>
    <w:bookmarkEnd w:id="66"/>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rPr>
          <w:rFonts w:hint="eastAsia" w:ascii="宋体" w:hAnsi="宋体" w:eastAsia="宋体" w:cs="宋体"/>
          <w:color w:val="auto"/>
          <w:sz w:val="21"/>
          <w:szCs w:val="21"/>
        </w:rPr>
      </w:pPr>
      <w:r>
        <w:rPr>
          <w:rFonts w:hint="eastAsia" w:ascii="宋体" w:hAnsi="宋体" w:eastAsia="宋体" w:cs="宋体"/>
          <w:color w:val="auto"/>
          <w:kern w:val="0"/>
          <w:sz w:val="21"/>
          <w:szCs w:val="21"/>
        </w:rPr>
        <w:t xml:space="preserve">    </w:t>
      </w:r>
      <w:r>
        <w:rPr>
          <w:rFonts w:hint="eastAsia" w:ascii="宋体" w:hAnsi="宋体" w:eastAsia="宋体" w:cs="宋体"/>
          <w:color w:val="auto"/>
          <w:sz w:val="21"/>
          <w:szCs w:val="21"/>
        </w:rPr>
        <w:t>1.11.4 除专用合同条款另有约定外，承包人在合同签订前和签订时已确定采用的专利、专有技术、技术秘密的使用费已包含在签约合同价中。</w:t>
      </w:r>
    </w:p>
    <w:p>
      <w:pPr>
        <w:pStyle w:val="6"/>
        <w:spacing w:before="120" w:after="120" w:line="360" w:lineRule="auto"/>
        <w:ind w:firstLine="420" w:firstLineChars="200"/>
        <w:rPr>
          <w:rFonts w:hint="eastAsia" w:ascii="宋体" w:hAnsi="宋体" w:eastAsia="宋体" w:cs="宋体"/>
          <w:b w:val="0"/>
          <w:color w:val="auto"/>
          <w:sz w:val="21"/>
          <w:szCs w:val="21"/>
        </w:rPr>
      </w:pPr>
      <w:bookmarkStart w:id="67" w:name="_Toc160553012"/>
      <w:r>
        <w:rPr>
          <w:rFonts w:hint="eastAsia" w:ascii="宋体" w:hAnsi="宋体" w:eastAsia="宋体" w:cs="宋体"/>
          <w:b w:val="0"/>
          <w:color w:val="auto"/>
          <w:sz w:val="21"/>
          <w:szCs w:val="21"/>
        </w:rPr>
        <w:t>1</w:t>
      </w:r>
      <w:bookmarkStart w:id="68" w:name="_Toc337558738"/>
      <w:r>
        <w:rPr>
          <w:rFonts w:hint="eastAsia" w:ascii="宋体" w:hAnsi="宋体" w:eastAsia="宋体" w:cs="宋体"/>
          <w:b w:val="0"/>
          <w:color w:val="auto"/>
          <w:sz w:val="21"/>
          <w:szCs w:val="21"/>
        </w:rPr>
        <w:t>.12保密</w:t>
      </w:r>
      <w:bookmarkEnd w:id="67"/>
    </w:p>
    <w:bookmarkEnd w:id="68"/>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除法律规定或合同另有约定外，未经发包人同意，承包人不得将发包人提供的图纸、文件以及声明需要保密的资料信息等商业秘密泄露给第三方。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除法律规定或合同另有约定外，未经承包人同意，发包人不得将承包人提供的技术秘密及声明需要保密的资料信息等商业秘密泄露给第三方。</w:t>
      </w:r>
    </w:p>
    <w:p>
      <w:pPr>
        <w:pStyle w:val="6"/>
        <w:spacing w:before="120" w:after="120" w:line="360" w:lineRule="auto"/>
        <w:ind w:firstLine="420" w:firstLineChars="200"/>
        <w:rPr>
          <w:rFonts w:hint="eastAsia" w:ascii="宋体" w:hAnsi="宋体" w:eastAsia="宋体" w:cs="宋体"/>
          <w:b w:val="0"/>
          <w:color w:val="auto"/>
          <w:sz w:val="21"/>
          <w:szCs w:val="21"/>
        </w:rPr>
      </w:pPr>
      <w:bookmarkStart w:id="69" w:name="_Toc160553013"/>
      <w:r>
        <w:rPr>
          <w:rFonts w:hint="eastAsia" w:ascii="宋体" w:hAnsi="宋体" w:eastAsia="宋体" w:cs="宋体"/>
          <w:b w:val="0"/>
          <w:color w:val="auto"/>
          <w:sz w:val="21"/>
          <w:szCs w:val="21"/>
        </w:rPr>
        <w:t>1.13工程量清单错误的修正</w:t>
      </w:r>
      <w:bookmarkEnd w:id="69"/>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除专用合同条款另有约定外，发包人提供的工程量清单，应被认为是准确的和完整的。出现下列情形之一时，发包人应予以修正，并相应调整合同价格：</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（1）工程量清单存在缺项、漏项的；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（2）工程量清单偏差超出专用合同条款约定的工程量偏差范围的；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（3）未按照国家现行计量规范强制性规定计量的。</w:t>
      </w:r>
    </w:p>
    <w:p>
      <w:pPr>
        <w:pStyle w:val="5"/>
        <w:spacing w:before="120" w:after="120" w:line="360" w:lineRule="auto"/>
        <w:rPr>
          <w:rFonts w:hint="eastAsia" w:ascii="宋体" w:hAnsi="宋体" w:eastAsia="宋体" w:cs="宋体"/>
          <w:b w:val="0"/>
          <w:color w:val="auto"/>
          <w:sz w:val="21"/>
          <w:szCs w:val="21"/>
        </w:rPr>
      </w:pPr>
      <w:bookmarkStart w:id="70" w:name="_Toc160553014"/>
      <w:r>
        <w:rPr>
          <w:rFonts w:hint="eastAsia" w:ascii="宋体" w:hAnsi="宋体" w:eastAsia="宋体" w:cs="宋体"/>
          <w:b w:val="0"/>
          <w:color w:val="auto"/>
          <w:sz w:val="21"/>
          <w:szCs w:val="21"/>
        </w:rPr>
        <w:t>2</w:t>
      </w:r>
      <w:bookmarkStart w:id="71" w:name="_Toc296346539"/>
      <w:bookmarkStart w:id="72" w:name="_Toc296503038"/>
      <w:bookmarkStart w:id="73" w:name="_Toc337558739"/>
      <w:bookmarkStart w:id="74" w:name="OLE_LINK2"/>
      <w:bookmarkStart w:id="75" w:name="OLE_LINK1"/>
      <w:r>
        <w:rPr>
          <w:rFonts w:hint="eastAsia" w:ascii="宋体" w:hAnsi="宋体" w:eastAsia="宋体" w:cs="宋体"/>
          <w:b w:val="0"/>
          <w:color w:val="auto"/>
          <w:sz w:val="21"/>
          <w:szCs w:val="21"/>
        </w:rPr>
        <w:t>. 发包人</w:t>
      </w:r>
      <w:bookmarkEnd w:id="70"/>
    </w:p>
    <w:bookmarkEnd w:id="71"/>
    <w:bookmarkEnd w:id="72"/>
    <w:bookmarkEnd w:id="73"/>
    <w:p>
      <w:pPr>
        <w:pStyle w:val="6"/>
        <w:spacing w:before="120" w:after="120" w:line="360" w:lineRule="auto"/>
        <w:ind w:firstLine="420" w:firstLineChars="200"/>
        <w:rPr>
          <w:rFonts w:hint="eastAsia" w:ascii="宋体" w:hAnsi="宋体" w:eastAsia="宋体" w:cs="宋体"/>
          <w:b w:val="0"/>
          <w:color w:val="auto"/>
          <w:sz w:val="21"/>
          <w:szCs w:val="21"/>
        </w:rPr>
      </w:pPr>
      <w:bookmarkStart w:id="76" w:name="_Toc160553015"/>
      <w:r>
        <w:rPr>
          <w:rFonts w:hint="eastAsia" w:ascii="宋体" w:hAnsi="宋体" w:eastAsia="宋体" w:cs="宋体"/>
          <w:b w:val="0"/>
          <w:color w:val="auto"/>
          <w:sz w:val="21"/>
          <w:szCs w:val="21"/>
        </w:rPr>
        <w:t>2</w:t>
      </w:r>
      <w:bookmarkStart w:id="77" w:name="_Toc296346540"/>
      <w:bookmarkStart w:id="78" w:name="_Toc337558740"/>
      <w:bookmarkStart w:id="79" w:name="_Toc296503039"/>
      <w:r>
        <w:rPr>
          <w:rFonts w:hint="eastAsia" w:ascii="宋体" w:hAnsi="宋体" w:eastAsia="宋体" w:cs="宋体"/>
          <w:b w:val="0"/>
          <w:color w:val="auto"/>
          <w:sz w:val="21"/>
          <w:szCs w:val="21"/>
        </w:rPr>
        <w:t>.1 许可或批准</w:t>
      </w:r>
      <w:bookmarkEnd w:id="76"/>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因发包人原因未能及时办理完毕前述许可、批准或备案，由发包人承担由此增加的费用和（或）延误的工期，并支付承包人合理的利润。</w:t>
      </w:r>
    </w:p>
    <w:p>
      <w:pPr>
        <w:pStyle w:val="6"/>
        <w:spacing w:before="120" w:after="120" w:line="360" w:lineRule="auto"/>
        <w:ind w:firstLine="420" w:firstLineChars="200"/>
        <w:rPr>
          <w:rFonts w:hint="eastAsia" w:ascii="宋体" w:hAnsi="宋体" w:eastAsia="宋体" w:cs="宋体"/>
          <w:b w:val="0"/>
          <w:color w:val="auto"/>
          <w:sz w:val="21"/>
          <w:szCs w:val="21"/>
        </w:rPr>
      </w:pPr>
      <w:bookmarkStart w:id="80" w:name="_Toc160553016"/>
      <w:r>
        <w:rPr>
          <w:rFonts w:hint="eastAsia" w:ascii="宋体" w:hAnsi="宋体" w:eastAsia="宋体" w:cs="宋体"/>
          <w:b w:val="0"/>
          <w:color w:val="auto"/>
          <w:sz w:val="21"/>
          <w:szCs w:val="21"/>
        </w:rPr>
        <w:t>2.2 发包人代表</w:t>
      </w:r>
      <w:bookmarkEnd w:id="80"/>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发包人代表不能按照合同约定履行其职责及义务，并导致合同无法继续正常履行的，承包人可以要求发包人撤换发包人代表。</w:t>
      </w:r>
    </w:p>
    <w:p>
      <w:pPr>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不属于法定必须监理的工程，监理人的职权可以由发包人代表或发包人指定的其他人员行使。</w:t>
      </w:r>
    </w:p>
    <w:p>
      <w:pPr>
        <w:pStyle w:val="6"/>
        <w:spacing w:before="120" w:after="120" w:line="360" w:lineRule="auto"/>
        <w:ind w:firstLine="420" w:firstLineChars="200"/>
        <w:rPr>
          <w:rFonts w:hint="eastAsia" w:ascii="宋体" w:hAnsi="宋体" w:eastAsia="宋体" w:cs="宋体"/>
          <w:b w:val="0"/>
          <w:color w:val="auto"/>
          <w:sz w:val="21"/>
          <w:szCs w:val="21"/>
        </w:rPr>
      </w:pPr>
      <w:bookmarkStart w:id="81" w:name="_Toc160553017"/>
      <w:r>
        <w:rPr>
          <w:rFonts w:hint="eastAsia" w:ascii="宋体" w:hAnsi="宋体" w:eastAsia="宋体" w:cs="宋体"/>
          <w:b w:val="0"/>
          <w:color w:val="auto"/>
          <w:sz w:val="21"/>
          <w:szCs w:val="21"/>
        </w:rPr>
        <w:t>2.3 发包人人员</w:t>
      </w:r>
      <w:bookmarkEnd w:id="81"/>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发包人应要求在施工现场的发包人人员遵守法律及有关安全、质量、环境保护、文明施工等规定，并保障承包人免于承受因发包人人员未遵守上述要求给承包人造成的损失和责任。</w:t>
      </w:r>
    </w:p>
    <w:p>
      <w:pPr>
        <w:spacing w:line="360" w:lineRule="auto"/>
        <w:ind w:firstLine="64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发包人人员包括发包人代表及其他由发包人派驻施工现场的人员。</w:t>
      </w:r>
      <w:bookmarkEnd w:id="77"/>
      <w:bookmarkEnd w:id="78"/>
      <w:bookmarkEnd w:id="79"/>
    </w:p>
    <w:p>
      <w:pPr>
        <w:pStyle w:val="6"/>
        <w:spacing w:before="120" w:after="120" w:line="360" w:lineRule="auto"/>
        <w:ind w:firstLine="420" w:firstLineChars="200"/>
        <w:rPr>
          <w:rFonts w:hint="eastAsia" w:ascii="宋体" w:hAnsi="宋体" w:eastAsia="宋体" w:cs="宋体"/>
          <w:b w:val="0"/>
          <w:color w:val="auto"/>
          <w:sz w:val="21"/>
          <w:szCs w:val="21"/>
        </w:rPr>
      </w:pPr>
      <w:bookmarkStart w:id="82" w:name="_Toc160553018"/>
      <w:r>
        <w:rPr>
          <w:rFonts w:hint="eastAsia" w:ascii="宋体" w:hAnsi="宋体" w:eastAsia="宋体" w:cs="宋体"/>
          <w:b w:val="0"/>
          <w:color w:val="auto"/>
          <w:sz w:val="21"/>
          <w:szCs w:val="21"/>
        </w:rPr>
        <w:t>2</w:t>
      </w:r>
      <w:bookmarkStart w:id="83" w:name="_Toc337558741"/>
      <w:bookmarkStart w:id="84" w:name="_Toc296346541"/>
      <w:bookmarkStart w:id="85" w:name="_Toc296503040"/>
      <w:r>
        <w:rPr>
          <w:rFonts w:hint="eastAsia" w:ascii="宋体" w:hAnsi="宋体" w:eastAsia="宋体" w:cs="宋体"/>
          <w:b w:val="0"/>
          <w:color w:val="auto"/>
          <w:sz w:val="21"/>
          <w:szCs w:val="21"/>
        </w:rPr>
        <w:t>.4 施工现场、施工条件和基础资料的提供</w:t>
      </w:r>
      <w:bookmarkEnd w:id="82"/>
      <w:r>
        <w:rPr>
          <w:rFonts w:hint="eastAsia" w:ascii="宋体" w:hAnsi="宋体" w:eastAsia="宋体" w:cs="宋体"/>
          <w:b w:val="0"/>
          <w:color w:val="auto"/>
          <w:sz w:val="21"/>
          <w:szCs w:val="21"/>
        </w:rPr>
        <w:t xml:space="preserve"> </w:t>
      </w:r>
      <w:bookmarkEnd w:id="83"/>
      <w:bookmarkEnd w:id="84"/>
      <w:bookmarkEnd w:id="85"/>
      <w:r>
        <w:rPr>
          <w:rFonts w:hint="eastAsia" w:ascii="宋体" w:hAnsi="宋体" w:eastAsia="宋体" w:cs="宋体"/>
          <w:b w:val="0"/>
          <w:color w:val="auto"/>
          <w:sz w:val="21"/>
          <w:szCs w:val="21"/>
        </w:rPr>
        <w:t xml:space="preserve">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2.4.1 提供施工现场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w:t>
      </w:r>
      <w:bookmarkEnd w:id="74"/>
      <w:bookmarkEnd w:id="75"/>
      <w:r>
        <w:rPr>
          <w:rFonts w:hint="eastAsia" w:ascii="宋体" w:hAnsi="宋体" w:eastAsia="宋体" w:cs="宋体"/>
          <w:color w:val="auto"/>
          <w:kern w:val="0"/>
          <w:sz w:val="21"/>
          <w:szCs w:val="21"/>
        </w:rPr>
        <w:t>专用合同条款另有约定外，发包人应最迟于开工日期7天前向承包人移交施工现场。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2.4.2 提供施工条件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除专用合同条款另有约定外，发包人应负责提供施工所需要的条件，包括：</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（1）将施工用水、电力、通讯线路等施工所必需的条件接至施工现场内；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（2）保证向承包人提供正常施工所需要的进入施工现场的交通条件；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（3）协调处理施工现场周围地下管线和邻近建筑物、构筑物、古树名木的保护工作，并承担相关费用；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（4）按照专用合同条款约定应提供的其他设施和条件。</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2.4.3 提供基础资料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按照法律规定确需在开工后方能提供的基础资料，发包人应尽其努力及时地在相应工程施工前的合理期限内提供，合理期限应以不影响承包人的正常施工为限。</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2.4.4 逾期提供的责任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因发包人原因未能按合同约定及时向承包人提供施工现场、施工条件、基础资料的，由发包人承担由此增加的费用和（或）延误的工期。</w:t>
      </w:r>
    </w:p>
    <w:p>
      <w:pPr>
        <w:pStyle w:val="6"/>
        <w:spacing w:before="120" w:after="120" w:line="360" w:lineRule="auto"/>
        <w:ind w:firstLine="420" w:firstLineChars="200"/>
        <w:rPr>
          <w:rFonts w:hint="eastAsia" w:ascii="宋体" w:hAnsi="宋体" w:eastAsia="宋体" w:cs="宋体"/>
          <w:b w:val="0"/>
          <w:color w:val="auto"/>
          <w:sz w:val="21"/>
          <w:szCs w:val="21"/>
        </w:rPr>
      </w:pPr>
      <w:bookmarkStart w:id="86" w:name="_Toc160553019"/>
      <w:r>
        <w:rPr>
          <w:rFonts w:hint="eastAsia" w:ascii="宋体" w:hAnsi="宋体" w:eastAsia="宋体" w:cs="宋体"/>
          <w:b w:val="0"/>
          <w:color w:val="auto"/>
          <w:sz w:val="21"/>
          <w:szCs w:val="21"/>
        </w:rPr>
        <w:t>2</w:t>
      </w:r>
      <w:bookmarkStart w:id="87" w:name="_Toc337558745"/>
      <w:bookmarkStart w:id="88" w:name="_Toc296346543"/>
      <w:bookmarkStart w:id="89" w:name="_Toc296503042"/>
      <w:r>
        <w:rPr>
          <w:rFonts w:hint="eastAsia" w:ascii="宋体" w:hAnsi="宋体" w:eastAsia="宋体" w:cs="宋体"/>
          <w:b w:val="0"/>
          <w:color w:val="auto"/>
          <w:sz w:val="21"/>
          <w:szCs w:val="21"/>
        </w:rPr>
        <w:t>.5 资</w:t>
      </w:r>
      <w:bookmarkEnd w:id="87"/>
      <w:bookmarkEnd w:id="88"/>
      <w:bookmarkEnd w:id="89"/>
      <w:r>
        <w:rPr>
          <w:rFonts w:hint="eastAsia" w:ascii="宋体" w:hAnsi="宋体" w:eastAsia="宋体" w:cs="宋体"/>
          <w:b w:val="0"/>
          <w:color w:val="auto"/>
          <w:sz w:val="21"/>
          <w:szCs w:val="21"/>
        </w:rPr>
        <w:t>金来源证明及支付担保</w:t>
      </w:r>
      <w:bookmarkEnd w:id="86"/>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除专用合同条款另有约定外，发包人应在收到承包人要求提供资金来源证明的书面通知后28天内，向承包人提供能够按照合同约定支付合同价款的相应资金来源证明。</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6"/>
        <w:spacing w:before="120" w:after="120" w:line="360" w:lineRule="auto"/>
        <w:ind w:firstLine="420" w:firstLineChars="200"/>
        <w:rPr>
          <w:rFonts w:hint="eastAsia" w:ascii="宋体" w:hAnsi="宋体" w:eastAsia="宋体" w:cs="宋体"/>
          <w:b w:val="0"/>
          <w:color w:val="auto"/>
          <w:sz w:val="21"/>
          <w:szCs w:val="21"/>
        </w:rPr>
      </w:pPr>
      <w:bookmarkStart w:id="90" w:name="_Toc160553020"/>
      <w:r>
        <w:rPr>
          <w:rFonts w:hint="eastAsia" w:ascii="宋体" w:hAnsi="宋体" w:eastAsia="宋体" w:cs="宋体"/>
          <w:b w:val="0"/>
          <w:color w:val="auto"/>
          <w:sz w:val="21"/>
          <w:szCs w:val="21"/>
        </w:rPr>
        <w:t>2.6 支付合同价款</w:t>
      </w:r>
      <w:bookmarkEnd w:id="90"/>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发包人应按合同约定向承包人及时支付合同价款。</w:t>
      </w:r>
    </w:p>
    <w:p>
      <w:pPr>
        <w:pStyle w:val="6"/>
        <w:spacing w:before="120" w:after="120" w:line="360" w:lineRule="auto"/>
        <w:ind w:firstLine="420" w:firstLineChars="200"/>
        <w:rPr>
          <w:rFonts w:hint="eastAsia" w:ascii="宋体" w:hAnsi="宋体" w:eastAsia="宋体" w:cs="宋体"/>
          <w:b w:val="0"/>
          <w:color w:val="auto"/>
          <w:sz w:val="21"/>
          <w:szCs w:val="21"/>
        </w:rPr>
      </w:pPr>
      <w:bookmarkStart w:id="91" w:name="_Toc160553021"/>
      <w:r>
        <w:rPr>
          <w:rFonts w:hint="eastAsia" w:ascii="宋体" w:hAnsi="宋体" w:eastAsia="宋体" w:cs="宋体"/>
          <w:b w:val="0"/>
          <w:color w:val="auto"/>
          <w:sz w:val="21"/>
          <w:szCs w:val="21"/>
        </w:rPr>
        <w:t>2.7 组织竣工验收</w:t>
      </w:r>
      <w:bookmarkEnd w:id="91"/>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发包人应按合同约定及时组织竣工验收。</w:t>
      </w:r>
    </w:p>
    <w:p>
      <w:pPr>
        <w:pStyle w:val="6"/>
        <w:spacing w:before="120" w:after="120" w:line="360" w:lineRule="auto"/>
        <w:ind w:firstLine="420" w:firstLineChars="200"/>
        <w:rPr>
          <w:rFonts w:hint="eastAsia" w:ascii="宋体" w:hAnsi="宋体" w:eastAsia="宋体" w:cs="宋体"/>
          <w:b w:val="0"/>
          <w:color w:val="auto"/>
          <w:sz w:val="21"/>
          <w:szCs w:val="21"/>
        </w:rPr>
      </w:pPr>
      <w:bookmarkStart w:id="92" w:name="_Toc160553022"/>
      <w:r>
        <w:rPr>
          <w:rFonts w:hint="eastAsia" w:ascii="宋体" w:hAnsi="宋体" w:eastAsia="宋体" w:cs="宋体"/>
          <w:b w:val="0"/>
          <w:color w:val="auto"/>
          <w:sz w:val="21"/>
          <w:szCs w:val="21"/>
        </w:rPr>
        <w:t>2.8 现场统一管理协议</w:t>
      </w:r>
      <w:bookmarkEnd w:id="92"/>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发包人应与承包人、由发包人直接发包的专业工程的承包人签订施工现场统一管理协议，明确各方的权利义务。施工现场统一管理协议作为专用合同条款的附件。</w:t>
      </w:r>
    </w:p>
    <w:p>
      <w:pPr>
        <w:pStyle w:val="5"/>
        <w:spacing w:before="120" w:after="120" w:line="360" w:lineRule="auto"/>
        <w:rPr>
          <w:rFonts w:hint="eastAsia" w:ascii="宋体" w:hAnsi="宋体" w:eastAsia="宋体" w:cs="宋体"/>
          <w:b w:val="0"/>
          <w:color w:val="auto"/>
          <w:sz w:val="21"/>
          <w:szCs w:val="21"/>
        </w:rPr>
      </w:pPr>
      <w:bookmarkStart w:id="93" w:name="_Toc160553023"/>
      <w:r>
        <w:rPr>
          <w:rFonts w:hint="eastAsia" w:ascii="宋体" w:hAnsi="宋体" w:eastAsia="宋体" w:cs="宋体"/>
          <w:b w:val="0"/>
          <w:color w:val="auto"/>
          <w:sz w:val="21"/>
          <w:szCs w:val="21"/>
        </w:rPr>
        <w:t>3</w:t>
      </w:r>
      <w:bookmarkStart w:id="94" w:name="_Toc337558746"/>
      <w:bookmarkStart w:id="95" w:name="_Toc296503045"/>
      <w:bookmarkStart w:id="96" w:name="_Toc296346546"/>
      <w:r>
        <w:rPr>
          <w:rFonts w:hint="eastAsia" w:ascii="宋体" w:hAnsi="宋体" w:eastAsia="宋体" w:cs="宋体"/>
          <w:b w:val="0"/>
          <w:color w:val="auto"/>
          <w:sz w:val="21"/>
          <w:szCs w:val="21"/>
        </w:rPr>
        <w:t>. 承包人</w:t>
      </w:r>
      <w:bookmarkEnd w:id="93"/>
    </w:p>
    <w:bookmarkEnd w:id="94"/>
    <w:bookmarkEnd w:id="95"/>
    <w:bookmarkEnd w:id="96"/>
    <w:p>
      <w:pPr>
        <w:pStyle w:val="6"/>
        <w:spacing w:before="120" w:after="120" w:line="360" w:lineRule="auto"/>
        <w:ind w:firstLine="420" w:firstLineChars="200"/>
        <w:rPr>
          <w:rFonts w:hint="eastAsia" w:ascii="宋体" w:hAnsi="宋体" w:eastAsia="宋体" w:cs="宋体"/>
          <w:b w:val="0"/>
          <w:color w:val="auto"/>
          <w:sz w:val="21"/>
          <w:szCs w:val="21"/>
        </w:rPr>
      </w:pPr>
      <w:bookmarkStart w:id="97" w:name="_Toc160553024"/>
      <w:r>
        <w:rPr>
          <w:rFonts w:hint="eastAsia" w:ascii="宋体" w:hAnsi="宋体" w:eastAsia="宋体" w:cs="宋体"/>
          <w:b w:val="0"/>
          <w:color w:val="auto"/>
          <w:sz w:val="21"/>
          <w:szCs w:val="21"/>
        </w:rPr>
        <w:t>3</w:t>
      </w:r>
      <w:bookmarkStart w:id="98" w:name="_Toc296346547"/>
      <w:bookmarkStart w:id="99" w:name="_Toc296503046"/>
      <w:bookmarkStart w:id="100" w:name="_Toc337558747"/>
      <w:r>
        <w:rPr>
          <w:rFonts w:hint="eastAsia" w:ascii="宋体" w:hAnsi="宋体" w:eastAsia="宋体" w:cs="宋体"/>
          <w:b w:val="0"/>
          <w:color w:val="auto"/>
          <w:sz w:val="21"/>
          <w:szCs w:val="21"/>
        </w:rPr>
        <w:t>.1 承包人的一般义务</w:t>
      </w:r>
      <w:bookmarkEnd w:id="97"/>
    </w:p>
    <w:bookmarkEnd w:id="98"/>
    <w:bookmarkEnd w:id="99"/>
    <w:bookmarkEnd w:id="10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承包人在履行合同过程中应遵守法律和工程建设标准规范，并履行以下义务：</w:t>
      </w:r>
    </w:p>
    <w:p>
      <w:pPr>
        <w:numPr>
          <w:ilvl w:val="0"/>
          <w:numId w:val="2"/>
        </w:num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办理法律规定应由承包人办理的许可和批准，并将办理结果书面报送发包人留存；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（2）按法律规定和合同约定完成工程，并在保修期内承担保修义务；</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（3）按法律规定和合同约定采取施工安全和环境保护措施，办理工伤保险，确保工程及人员、材料、设备和设施的安全；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（4）按合同约定的工作内容和施工进度要求，编制施工组织设计和施工措施计划，并对所有施工作业和施工方法的完备性和安全可靠性负责；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（6）按照第6.3款〔环境保护〕约定负责施工场地及其周边环境与生态的保护工作；</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（7）按第6.1款〔安全文明施工〕约定采取施工安全措施，确保工程及其人员、材料、设备和设施的安全，防止因工程施工造成的人身伤害和财产损失；</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（8）将发包人按合同约定支付的各项价款专用于合同工程，且应及时支付其雇用人员工资，并及时向分包人支付合同价款；</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（9）按照法律规定和合同约定编制竣工资料，完成竣工资料立卷及归档，并按专用合同条款约定的竣工资料的套数、内容、时间等要求移交发包人；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（10）应履行的其他义务。</w:t>
      </w:r>
    </w:p>
    <w:p>
      <w:pPr>
        <w:pStyle w:val="6"/>
        <w:spacing w:before="120" w:after="120" w:line="360" w:lineRule="auto"/>
        <w:ind w:firstLine="420" w:firstLineChars="200"/>
        <w:rPr>
          <w:rFonts w:hint="eastAsia" w:ascii="宋体" w:hAnsi="宋体" w:eastAsia="宋体" w:cs="宋体"/>
          <w:b w:val="0"/>
          <w:color w:val="auto"/>
          <w:sz w:val="21"/>
          <w:szCs w:val="21"/>
        </w:rPr>
      </w:pPr>
      <w:bookmarkStart w:id="101" w:name="_Toc160553025"/>
      <w:r>
        <w:rPr>
          <w:rFonts w:hint="eastAsia" w:ascii="宋体" w:hAnsi="宋体" w:eastAsia="宋体" w:cs="宋体"/>
          <w:b w:val="0"/>
          <w:color w:val="auto"/>
          <w:sz w:val="21"/>
          <w:szCs w:val="21"/>
        </w:rPr>
        <w:t>3</w:t>
      </w:r>
      <w:bookmarkStart w:id="102" w:name="_Toc296503047"/>
      <w:bookmarkStart w:id="103" w:name="_Toc337558748"/>
      <w:bookmarkStart w:id="104" w:name="_Toc296346548"/>
      <w:r>
        <w:rPr>
          <w:rFonts w:hint="eastAsia" w:ascii="宋体" w:hAnsi="宋体" w:eastAsia="宋体" w:cs="宋体"/>
          <w:b w:val="0"/>
          <w:color w:val="auto"/>
          <w:sz w:val="21"/>
          <w:szCs w:val="21"/>
        </w:rPr>
        <w:t>.2 项目经理</w:t>
      </w:r>
      <w:bookmarkEnd w:id="101"/>
    </w:p>
    <w:bookmarkEnd w:id="102"/>
    <w:bookmarkEnd w:id="103"/>
    <w:bookmarkEnd w:id="10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承包人违反上述约定的，应按照专用合同条款的约定，承担违约责任。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3.2.5 项目经理因特殊情况授权其下属人员履行其某项工作职责的，该下属人员应具备履行相应职责的能力，并应提前7天将上述人员的姓名和授权范围书面通知监理人，并征得发包人书面同意。</w:t>
      </w:r>
    </w:p>
    <w:p>
      <w:pPr>
        <w:pStyle w:val="6"/>
        <w:spacing w:before="120" w:after="120" w:line="360" w:lineRule="auto"/>
        <w:ind w:firstLine="420" w:firstLineChars="200"/>
        <w:rPr>
          <w:rFonts w:hint="eastAsia" w:ascii="宋体" w:hAnsi="宋体" w:eastAsia="宋体" w:cs="宋体"/>
          <w:b w:val="0"/>
          <w:color w:val="auto"/>
          <w:sz w:val="21"/>
          <w:szCs w:val="21"/>
        </w:rPr>
      </w:pPr>
      <w:bookmarkStart w:id="105" w:name="_Toc160553026"/>
      <w:r>
        <w:rPr>
          <w:rFonts w:hint="eastAsia" w:ascii="宋体" w:hAnsi="宋体" w:eastAsia="宋体" w:cs="宋体"/>
          <w:b w:val="0"/>
          <w:color w:val="auto"/>
          <w:sz w:val="21"/>
          <w:szCs w:val="21"/>
        </w:rPr>
        <w:t>3</w:t>
      </w:r>
      <w:bookmarkStart w:id="106" w:name="_Toc296503048"/>
      <w:bookmarkStart w:id="107" w:name="_Toc296346549"/>
      <w:bookmarkStart w:id="108" w:name="_Toc337558749"/>
      <w:r>
        <w:rPr>
          <w:rFonts w:hint="eastAsia" w:ascii="宋体" w:hAnsi="宋体" w:eastAsia="宋体" w:cs="宋体"/>
          <w:b w:val="0"/>
          <w:color w:val="auto"/>
          <w:sz w:val="21"/>
          <w:szCs w:val="21"/>
        </w:rPr>
        <w:t xml:space="preserve">.3 </w:t>
      </w:r>
      <w:bookmarkEnd w:id="106"/>
      <w:bookmarkEnd w:id="107"/>
      <w:r>
        <w:rPr>
          <w:rFonts w:hint="eastAsia" w:ascii="宋体" w:hAnsi="宋体" w:eastAsia="宋体" w:cs="宋体"/>
          <w:b w:val="0"/>
          <w:color w:val="auto"/>
          <w:sz w:val="21"/>
          <w:szCs w:val="21"/>
        </w:rPr>
        <w:t>承包人人员</w:t>
      </w:r>
      <w:bookmarkEnd w:id="105"/>
    </w:p>
    <w:bookmarkEnd w:id="108"/>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特殊工种作业人员均应持有相应的资格证明，监理人可以随时检查。</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3.3.5 承包人擅自更换主要施工管理人员，或前述人员未经监理人或发包人同意擅自离开施工现场的，应按照专用合同条款约定承担违约责任。</w:t>
      </w:r>
    </w:p>
    <w:p>
      <w:pPr>
        <w:pStyle w:val="6"/>
        <w:spacing w:before="120" w:after="120" w:line="360" w:lineRule="auto"/>
        <w:ind w:firstLine="420" w:firstLineChars="200"/>
        <w:rPr>
          <w:rFonts w:hint="eastAsia" w:ascii="宋体" w:hAnsi="宋体" w:eastAsia="宋体" w:cs="宋体"/>
          <w:b w:val="0"/>
          <w:color w:val="auto"/>
          <w:sz w:val="21"/>
          <w:szCs w:val="21"/>
        </w:rPr>
      </w:pPr>
      <w:bookmarkStart w:id="109" w:name="_Toc160553027"/>
      <w:r>
        <w:rPr>
          <w:rFonts w:hint="eastAsia" w:ascii="宋体" w:hAnsi="宋体" w:eastAsia="宋体" w:cs="宋体"/>
          <w:b w:val="0"/>
          <w:color w:val="auto"/>
          <w:sz w:val="21"/>
          <w:szCs w:val="21"/>
        </w:rPr>
        <w:t>3</w:t>
      </w:r>
      <w:bookmarkStart w:id="110" w:name="_Toc296346551"/>
      <w:bookmarkStart w:id="111" w:name="_Toc296503050"/>
      <w:bookmarkStart w:id="112" w:name="_Toc337558750"/>
      <w:r>
        <w:rPr>
          <w:rFonts w:hint="eastAsia" w:ascii="宋体" w:hAnsi="宋体" w:eastAsia="宋体" w:cs="宋体"/>
          <w:b w:val="0"/>
          <w:color w:val="auto"/>
          <w:sz w:val="21"/>
          <w:szCs w:val="21"/>
        </w:rPr>
        <w:t>.4 承包人现场查勘</w:t>
      </w:r>
      <w:bookmarkEnd w:id="109"/>
    </w:p>
    <w:bookmarkEnd w:id="110"/>
    <w:bookmarkEnd w:id="111"/>
    <w:bookmarkEnd w:id="112"/>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承包人应对基于发包人按照第2.4.3项〔提供基础资料〕提交的基础资料所做出的解释和推断负责，但因基础资料存在错误、遗漏导致承包人解释或推断失实的，由发包人承担责任。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6"/>
        <w:spacing w:before="120" w:after="120" w:line="360" w:lineRule="auto"/>
        <w:ind w:firstLine="420" w:firstLineChars="200"/>
        <w:rPr>
          <w:rFonts w:hint="eastAsia" w:ascii="宋体" w:hAnsi="宋体" w:eastAsia="宋体" w:cs="宋体"/>
          <w:b w:val="0"/>
          <w:color w:val="auto"/>
          <w:sz w:val="21"/>
          <w:szCs w:val="21"/>
        </w:rPr>
      </w:pPr>
      <w:bookmarkStart w:id="113" w:name="_Toc160553028"/>
      <w:r>
        <w:rPr>
          <w:rFonts w:hint="eastAsia" w:ascii="宋体" w:hAnsi="宋体" w:eastAsia="宋体" w:cs="宋体"/>
          <w:b w:val="0"/>
          <w:color w:val="auto"/>
          <w:sz w:val="21"/>
          <w:szCs w:val="21"/>
        </w:rPr>
        <w:t>3</w:t>
      </w:r>
      <w:bookmarkStart w:id="114" w:name="_Toc337558751"/>
      <w:bookmarkStart w:id="115" w:name="_Toc296503051"/>
      <w:bookmarkStart w:id="116" w:name="_Toc296346552"/>
      <w:r>
        <w:rPr>
          <w:rFonts w:hint="eastAsia" w:ascii="宋体" w:hAnsi="宋体" w:eastAsia="宋体" w:cs="宋体"/>
          <w:b w:val="0"/>
          <w:color w:val="auto"/>
          <w:sz w:val="21"/>
          <w:szCs w:val="21"/>
        </w:rPr>
        <w:t>.5 分包</w:t>
      </w:r>
      <w:bookmarkEnd w:id="113"/>
    </w:p>
    <w:bookmarkEnd w:id="114"/>
    <w:bookmarkEnd w:id="115"/>
    <w:bookmarkEnd w:id="116"/>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3.5.1 分包的一般约定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承包人不得以劳务分包的名义转包或违法分包工程。</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3.5.2 分包的确定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3.5.3 分包管理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承包人应向监理人提交分包人的主要施工管理人员表，并对分包人的施工人员进行实名制管理，包括但不限于进出场管理、登记造册以及各种证照的办理。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3.5.4 分包合同价款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（1）除本项第（2）目约定的情况或专用合同条款另有约定外，分包合同价款由承包人与分包人结算，未经承包人同意，发包人不得向分包人支付分包工程价款；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（2）生效法律文书要求发包人向分包人支付分包合同价款的，发包人有权从应付承包人工程款中扣除该部分款项。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3.5.5 分包合同权益的转让</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pPr>
        <w:pStyle w:val="6"/>
        <w:spacing w:before="120" w:after="120" w:line="360" w:lineRule="auto"/>
        <w:ind w:firstLine="420" w:firstLineChars="200"/>
        <w:rPr>
          <w:rFonts w:hint="eastAsia" w:ascii="宋体" w:hAnsi="宋体" w:eastAsia="宋体" w:cs="宋体"/>
          <w:b w:val="0"/>
          <w:color w:val="auto"/>
          <w:sz w:val="21"/>
          <w:szCs w:val="21"/>
        </w:rPr>
      </w:pPr>
      <w:bookmarkStart w:id="117" w:name="_Toc160553029"/>
      <w:r>
        <w:rPr>
          <w:rFonts w:hint="eastAsia" w:ascii="宋体" w:hAnsi="宋体" w:eastAsia="宋体" w:cs="宋体"/>
          <w:b w:val="0"/>
          <w:color w:val="auto"/>
          <w:sz w:val="21"/>
          <w:szCs w:val="21"/>
        </w:rPr>
        <w:t>3.6 工程照管与成品、半成品保护</w:t>
      </w:r>
      <w:bookmarkEnd w:id="117"/>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（1）除专用合同条款另有约定外，自发包人向承包人移交施工现场之日起，承包人应负责照管工程及工程相关的材料、工程设备，直到颁发工程接收证书之日止。</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（2）在承包人负责照管期间，因承包人原因造成工程、材料、工程设备损坏的，由承包人负责修复或更换，并承担由此增加的费用和（或）延误的工期。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（3）对合同内分期完成的成品和半成品，在工程接收证书颁发前，由承包人承担保护责任。因承包人原因造成成品或半成品损坏的，由承包人负责修复或更换，并承担由此增加的费用和（或）延误的工期。</w:t>
      </w:r>
    </w:p>
    <w:p>
      <w:pPr>
        <w:pStyle w:val="6"/>
        <w:spacing w:before="120" w:after="120" w:line="360" w:lineRule="auto"/>
        <w:ind w:firstLine="420" w:firstLineChars="200"/>
        <w:rPr>
          <w:rFonts w:hint="eastAsia" w:ascii="宋体" w:hAnsi="宋体" w:eastAsia="宋体" w:cs="宋体"/>
          <w:b w:val="0"/>
          <w:color w:val="auto"/>
          <w:sz w:val="21"/>
          <w:szCs w:val="21"/>
        </w:rPr>
      </w:pPr>
      <w:bookmarkStart w:id="118" w:name="_Toc160553030"/>
      <w:r>
        <w:rPr>
          <w:rFonts w:hint="eastAsia" w:ascii="宋体" w:hAnsi="宋体" w:eastAsia="宋体" w:cs="宋体"/>
          <w:b w:val="0"/>
          <w:color w:val="auto"/>
          <w:sz w:val="21"/>
          <w:szCs w:val="21"/>
        </w:rPr>
        <w:t>3</w:t>
      </w:r>
      <w:bookmarkStart w:id="119" w:name="_Toc296346553"/>
      <w:bookmarkStart w:id="120" w:name="_Toc337558752"/>
      <w:bookmarkStart w:id="121" w:name="_Toc296503052"/>
      <w:r>
        <w:rPr>
          <w:rFonts w:hint="eastAsia" w:ascii="宋体" w:hAnsi="宋体" w:eastAsia="宋体" w:cs="宋体"/>
          <w:b w:val="0"/>
          <w:color w:val="auto"/>
          <w:sz w:val="21"/>
          <w:szCs w:val="21"/>
        </w:rPr>
        <w:t>.7 履约担保</w:t>
      </w:r>
      <w:bookmarkEnd w:id="118"/>
    </w:p>
    <w:bookmarkEnd w:id="119"/>
    <w:bookmarkEnd w:id="120"/>
    <w:bookmarkEnd w:id="121"/>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发包人需要承包人提供履约担保的，由合同当事人在专用合同条款中约定履约担保的方式、金额及期限等。履约担保可以采用银行保函或担保公司担保等形式，具体由合同当事人在专用合同条款中约定。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因承包人原因导致工期延长的，继续提供履约担保所增加的费用由承包人承担；非因承包人原因导致工期延长的，继续提供履约担保所增加的费用由发包人承担。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122" w:name="_Toc160553031"/>
      <w:r>
        <w:rPr>
          <w:rFonts w:hint="eastAsia" w:ascii="宋体" w:hAnsi="宋体" w:eastAsia="宋体" w:cs="宋体"/>
          <w:b w:val="0"/>
          <w:color w:val="auto"/>
          <w:sz w:val="21"/>
          <w:szCs w:val="21"/>
        </w:rPr>
        <w:t>3.8 联合体</w:t>
      </w:r>
      <w:bookmarkEnd w:id="122"/>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3.8.1 联合体各方应共同与发包人签订合同协议书。联合体各方应为履行合同向发包人承担连带责任。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3.8.2 联合体协议经发包人确认后作为合同附件。在履行合同过程中，未经发包人同意，不得修改联合体协议。</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3.8.3 联合体牵头人负责与发包人和监理人联系，并接受指示，负责组织联合体各成员全面履行合同。</w:t>
      </w:r>
    </w:p>
    <w:p>
      <w:pPr>
        <w:pStyle w:val="5"/>
        <w:spacing w:before="120" w:after="120" w:line="360" w:lineRule="auto"/>
        <w:rPr>
          <w:rFonts w:hint="eastAsia" w:ascii="宋体" w:hAnsi="宋体" w:eastAsia="宋体" w:cs="宋体"/>
          <w:b w:val="0"/>
          <w:color w:val="auto"/>
          <w:sz w:val="21"/>
          <w:szCs w:val="21"/>
        </w:rPr>
      </w:pPr>
      <w:bookmarkStart w:id="123" w:name="_Toc160553032"/>
      <w:r>
        <w:rPr>
          <w:rFonts w:hint="eastAsia" w:ascii="宋体" w:hAnsi="宋体" w:eastAsia="宋体" w:cs="宋体"/>
          <w:b w:val="0"/>
          <w:color w:val="auto"/>
          <w:sz w:val="21"/>
          <w:szCs w:val="21"/>
        </w:rPr>
        <w:t>4</w:t>
      </w:r>
      <w:bookmarkStart w:id="124" w:name="_Toc296503053"/>
      <w:bookmarkStart w:id="125" w:name="_Toc296346554"/>
      <w:bookmarkStart w:id="126" w:name="_Toc337558753"/>
      <w:r>
        <w:rPr>
          <w:rFonts w:hint="eastAsia" w:ascii="宋体" w:hAnsi="宋体" w:eastAsia="宋体" w:cs="宋体"/>
          <w:b w:val="0"/>
          <w:color w:val="auto"/>
          <w:sz w:val="21"/>
          <w:szCs w:val="21"/>
        </w:rPr>
        <w:t>. 监</w:t>
      </w:r>
      <w:bookmarkEnd w:id="124"/>
      <w:bookmarkEnd w:id="125"/>
      <w:r>
        <w:rPr>
          <w:rFonts w:hint="eastAsia" w:ascii="宋体" w:hAnsi="宋体" w:eastAsia="宋体" w:cs="宋体"/>
          <w:b w:val="0"/>
          <w:color w:val="auto"/>
          <w:sz w:val="21"/>
          <w:szCs w:val="21"/>
        </w:rPr>
        <w:t>理人</w:t>
      </w:r>
      <w:bookmarkEnd w:id="123"/>
    </w:p>
    <w:bookmarkEnd w:id="126"/>
    <w:p>
      <w:pPr>
        <w:pStyle w:val="6"/>
        <w:spacing w:before="120" w:after="120" w:line="360" w:lineRule="auto"/>
        <w:ind w:firstLine="420" w:firstLineChars="200"/>
        <w:rPr>
          <w:rFonts w:hint="eastAsia" w:ascii="宋体" w:hAnsi="宋体" w:eastAsia="宋体" w:cs="宋体"/>
          <w:b w:val="0"/>
          <w:color w:val="auto"/>
          <w:sz w:val="21"/>
          <w:szCs w:val="21"/>
        </w:rPr>
      </w:pPr>
      <w:bookmarkStart w:id="127" w:name="_Toc160553033"/>
      <w:r>
        <w:rPr>
          <w:rFonts w:hint="eastAsia" w:ascii="宋体" w:hAnsi="宋体" w:eastAsia="宋体" w:cs="宋体"/>
          <w:b w:val="0"/>
          <w:color w:val="auto"/>
          <w:sz w:val="21"/>
          <w:szCs w:val="21"/>
        </w:rPr>
        <w:t>4</w:t>
      </w:r>
      <w:bookmarkStart w:id="128" w:name="_Toc296503054"/>
      <w:bookmarkStart w:id="129" w:name="_Toc337558754"/>
      <w:bookmarkStart w:id="130" w:name="_Toc296346555"/>
      <w:r>
        <w:rPr>
          <w:rFonts w:hint="eastAsia" w:ascii="宋体" w:hAnsi="宋体" w:eastAsia="宋体" w:cs="宋体"/>
          <w:b w:val="0"/>
          <w:color w:val="auto"/>
          <w:sz w:val="21"/>
          <w:szCs w:val="21"/>
        </w:rPr>
        <w:t>.1监理人的一般规定</w:t>
      </w:r>
      <w:bookmarkEnd w:id="127"/>
    </w:p>
    <w:bookmarkEnd w:id="128"/>
    <w:bookmarkEnd w:id="129"/>
    <w:bookmarkEnd w:id="13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除专用合同条款另有约定外，监理人在施工现场的办公场所、生活场所由承包人提供，所发生的费用由发包人承担。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131" w:name="_Toc160553034"/>
      <w:r>
        <w:rPr>
          <w:rFonts w:hint="eastAsia" w:ascii="宋体" w:hAnsi="宋体" w:eastAsia="宋体" w:cs="宋体"/>
          <w:b w:val="0"/>
          <w:color w:val="auto"/>
          <w:sz w:val="21"/>
          <w:szCs w:val="21"/>
        </w:rPr>
        <w:t>4</w:t>
      </w:r>
      <w:bookmarkStart w:id="132" w:name="_Toc337558755"/>
      <w:r>
        <w:rPr>
          <w:rFonts w:hint="eastAsia" w:ascii="宋体" w:hAnsi="宋体" w:eastAsia="宋体" w:cs="宋体"/>
          <w:b w:val="0"/>
          <w:color w:val="auto"/>
          <w:sz w:val="21"/>
          <w:szCs w:val="21"/>
        </w:rPr>
        <w:t>.2监理人员</w:t>
      </w:r>
      <w:bookmarkEnd w:id="131"/>
    </w:p>
    <w:bookmarkEnd w:id="132"/>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6"/>
        <w:spacing w:before="120" w:after="120" w:line="360" w:lineRule="auto"/>
        <w:ind w:firstLine="420" w:firstLineChars="200"/>
        <w:rPr>
          <w:rFonts w:hint="eastAsia" w:ascii="宋体" w:hAnsi="宋体" w:eastAsia="宋体" w:cs="宋体"/>
          <w:b w:val="0"/>
          <w:color w:val="auto"/>
          <w:sz w:val="21"/>
          <w:szCs w:val="21"/>
        </w:rPr>
      </w:pPr>
      <w:bookmarkStart w:id="133" w:name="_Toc160553035"/>
      <w:r>
        <w:rPr>
          <w:rFonts w:hint="eastAsia" w:ascii="宋体" w:hAnsi="宋体" w:eastAsia="宋体" w:cs="宋体"/>
          <w:b w:val="0"/>
          <w:color w:val="auto"/>
          <w:sz w:val="21"/>
          <w:szCs w:val="21"/>
        </w:rPr>
        <w:t>4</w:t>
      </w:r>
      <w:bookmarkStart w:id="134" w:name="_Toc296503055"/>
      <w:bookmarkStart w:id="135" w:name="_Toc296346556"/>
      <w:bookmarkStart w:id="136" w:name="_Toc337558756"/>
      <w:r>
        <w:rPr>
          <w:rFonts w:hint="eastAsia" w:ascii="宋体" w:hAnsi="宋体" w:eastAsia="宋体" w:cs="宋体"/>
          <w:b w:val="0"/>
          <w:color w:val="auto"/>
          <w:sz w:val="21"/>
          <w:szCs w:val="21"/>
        </w:rPr>
        <w:t>.3</w:t>
      </w:r>
      <w:bookmarkEnd w:id="134"/>
      <w:bookmarkEnd w:id="135"/>
      <w:r>
        <w:rPr>
          <w:rFonts w:hint="eastAsia" w:ascii="宋体" w:hAnsi="宋体" w:eastAsia="宋体" w:cs="宋体"/>
          <w:b w:val="0"/>
          <w:color w:val="auto"/>
          <w:sz w:val="21"/>
          <w:szCs w:val="21"/>
        </w:rPr>
        <w:t>监理人的指</w:t>
      </w:r>
      <w:bookmarkEnd w:id="136"/>
      <w:r>
        <w:rPr>
          <w:rFonts w:hint="eastAsia" w:ascii="宋体" w:hAnsi="宋体" w:eastAsia="宋体" w:cs="宋体"/>
          <w:b w:val="0"/>
          <w:color w:val="auto"/>
          <w:sz w:val="21"/>
          <w:szCs w:val="21"/>
        </w:rPr>
        <w:t>示</w:t>
      </w:r>
      <w:bookmarkEnd w:id="133"/>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承包人对监理人发出的指示有疑问的，应向监理人提出书面异议，监理人应在48小时内对该指示予以确认、更改或撤销，监理人逾期未回复的，承包人有权拒绝执行上述指示。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监理人对承包人的任何工作、工程或其采用的材料和工程设备未在约定的或合理期限内提出意见的，视为批准，但不免除或减轻承包人对该工作、工程、材料、工程设备等应承担的责任和义务。</w:t>
      </w:r>
    </w:p>
    <w:p>
      <w:pPr>
        <w:pStyle w:val="5"/>
        <w:spacing w:before="120" w:after="120" w:line="360" w:lineRule="auto"/>
        <w:ind w:firstLine="420" w:firstLineChars="200"/>
        <w:rPr>
          <w:rFonts w:hint="eastAsia" w:ascii="宋体" w:hAnsi="宋体" w:eastAsia="宋体" w:cs="宋体"/>
          <w:b w:val="0"/>
          <w:color w:val="auto"/>
          <w:sz w:val="21"/>
          <w:szCs w:val="21"/>
        </w:rPr>
      </w:pPr>
      <w:bookmarkStart w:id="137" w:name="_Toc160553036"/>
      <w:r>
        <w:rPr>
          <w:rFonts w:hint="eastAsia" w:ascii="宋体" w:hAnsi="宋体" w:eastAsia="宋体" w:cs="宋体"/>
          <w:b w:val="0"/>
          <w:color w:val="auto"/>
          <w:sz w:val="21"/>
          <w:szCs w:val="21"/>
        </w:rPr>
        <w:t>4</w:t>
      </w:r>
      <w:bookmarkStart w:id="138" w:name="_Toc296346558"/>
      <w:bookmarkStart w:id="139" w:name="_Toc296503057"/>
      <w:bookmarkStart w:id="140" w:name="_Toc337558757"/>
      <w:r>
        <w:rPr>
          <w:rFonts w:hint="eastAsia" w:ascii="宋体" w:hAnsi="宋体" w:eastAsia="宋体" w:cs="宋体"/>
          <w:b w:val="0"/>
          <w:color w:val="auto"/>
          <w:sz w:val="21"/>
          <w:szCs w:val="21"/>
        </w:rPr>
        <w:t>.4 商定或确定</w:t>
      </w:r>
      <w:bookmarkEnd w:id="137"/>
    </w:p>
    <w:bookmarkEnd w:id="138"/>
    <w:bookmarkEnd w:id="139"/>
    <w:bookmarkEnd w:id="14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合同当事人进行商定或确定时，总监理工程师应当会同合同当事人尽量通过协商达成一致，不能达成一致的，由总监理工程师按照合同约定审慎做出公正的确定。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5"/>
        <w:spacing w:before="120" w:after="120" w:line="360" w:lineRule="auto"/>
        <w:rPr>
          <w:rFonts w:hint="eastAsia" w:ascii="宋体" w:hAnsi="宋体" w:eastAsia="宋体" w:cs="宋体"/>
          <w:b w:val="0"/>
          <w:color w:val="auto"/>
          <w:sz w:val="21"/>
          <w:szCs w:val="21"/>
        </w:rPr>
      </w:pPr>
      <w:bookmarkStart w:id="141" w:name="_Toc160553037"/>
      <w:r>
        <w:rPr>
          <w:rFonts w:hint="eastAsia" w:ascii="宋体" w:hAnsi="宋体" w:eastAsia="宋体" w:cs="宋体"/>
          <w:b w:val="0"/>
          <w:color w:val="auto"/>
          <w:sz w:val="21"/>
          <w:szCs w:val="21"/>
        </w:rPr>
        <w:t>5</w:t>
      </w:r>
      <w:bookmarkStart w:id="142" w:name="_Toc337558758"/>
      <w:r>
        <w:rPr>
          <w:rFonts w:hint="eastAsia" w:ascii="宋体" w:hAnsi="宋体" w:eastAsia="宋体" w:cs="宋体"/>
          <w:b w:val="0"/>
          <w:color w:val="auto"/>
          <w:sz w:val="21"/>
          <w:szCs w:val="21"/>
        </w:rPr>
        <w:t>. 工程质量</w:t>
      </w:r>
      <w:bookmarkEnd w:id="141"/>
    </w:p>
    <w:bookmarkEnd w:id="142"/>
    <w:p>
      <w:pPr>
        <w:pStyle w:val="6"/>
        <w:spacing w:before="120" w:after="120" w:line="360" w:lineRule="auto"/>
        <w:ind w:firstLine="420" w:firstLineChars="200"/>
        <w:rPr>
          <w:rFonts w:hint="eastAsia" w:ascii="宋体" w:hAnsi="宋体" w:eastAsia="宋体" w:cs="宋体"/>
          <w:b w:val="0"/>
          <w:color w:val="auto"/>
          <w:sz w:val="21"/>
          <w:szCs w:val="21"/>
        </w:rPr>
      </w:pPr>
      <w:bookmarkStart w:id="143" w:name="_Toc160553038"/>
      <w:r>
        <w:rPr>
          <w:rFonts w:hint="eastAsia" w:ascii="宋体" w:hAnsi="宋体" w:eastAsia="宋体" w:cs="宋体"/>
          <w:b w:val="0"/>
          <w:color w:val="auto"/>
          <w:sz w:val="21"/>
          <w:szCs w:val="21"/>
        </w:rPr>
        <w:t>5</w:t>
      </w:r>
      <w:bookmarkStart w:id="144" w:name="_Toc337558759"/>
      <w:r>
        <w:rPr>
          <w:rFonts w:hint="eastAsia" w:ascii="宋体" w:hAnsi="宋体" w:eastAsia="宋体" w:cs="宋体"/>
          <w:b w:val="0"/>
          <w:color w:val="auto"/>
          <w:sz w:val="21"/>
          <w:szCs w:val="21"/>
        </w:rPr>
        <w:t>.1质量要求</w:t>
      </w:r>
      <w:bookmarkEnd w:id="143"/>
    </w:p>
    <w:bookmarkEnd w:id="14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5.1.1 工程质量标准必须符合现行国家有关工程施工质量验收规范和标准的要求。有关工程质量的特殊标准或要求由合同当事人在专用合同条款中约定。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5.1.2 因发包人原因造成工程质量未达到合同约定标准的，由发包人承担由此增加的费用和（或）延误的工期，并支付承包人合理的利润。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5.1.3 因承包人原因造成工程质量未达到合同约定标准的，发包人有权要求承包人返工直至工程质量达到合同约定的标准为止，并由承包人承担由此增加的费用和（或）延误的工期。</w:t>
      </w:r>
    </w:p>
    <w:p>
      <w:pPr>
        <w:pStyle w:val="6"/>
        <w:spacing w:before="120" w:after="120" w:line="360" w:lineRule="auto"/>
        <w:ind w:firstLine="420" w:firstLineChars="200"/>
        <w:rPr>
          <w:rFonts w:hint="eastAsia" w:ascii="宋体" w:hAnsi="宋体" w:eastAsia="宋体" w:cs="宋体"/>
          <w:b w:val="0"/>
          <w:color w:val="auto"/>
          <w:sz w:val="21"/>
          <w:szCs w:val="21"/>
        </w:rPr>
      </w:pPr>
      <w:bookmarkStart w:id="145" w:name="_Toc160553039"/>
      <w:r>
        <w:rPr>
          <w:rFonts w:hint="eastAsia" w:ascii="宋体" w:hAnsi="宋体" w:eastAsia="宋体" w:cs="宋体"/>
          <w:b w:val="0"/>
          <w:color w:val="auto"/>
          <w:sz w:val="21"/>
          <w:szCs w:val="21"/>
        </w:rPr>
        <w:t>5</w:t>
      </w:r>
      <w:bookmarkStart w:id="146" w:name="_Toc337558760"/>
      <w:r>
        <w:rPr>
          <w:rFonts w:hint="eastAsia" w:ascii="宋体" w:hAnsi="宋体" w:eastAsia="宋体" w:cs="宋体"/>
          <w:b w:val="0"/>
          <w:color w:val="auto"/>
          <w:sz w:val="21"/>
          <w:szCs w:val="21"/>
        </w:rPr>
        <w:t>.2质量保证措施</w:t>
      </w:r>
      <w:bookmarkEnd w:id="145"/>
    </w:p>
    <w:bookmarkEnd w:id="146"/>
    <w:p>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bookmarkStart w:id="147" w:name="_Toc160553040"/>
      <w:r>
        <w:rPr>
          <w:rFonts w:hint="eastAsia" w:ascii="宋体" w:hAnsi="宋体" w:eastAsia="宋体" w:cs="宋体"/>
          <w:color w:val="auto"/>
          <w:kern w:val="0"/>
          <w:sz w:val="21"/>
          <w:szCs w:val="21"/>
        </w:rPr>
        <w:t>5.2.1 发包人的质量管理</w:t>
      </w:r>
      <w:bookmarkEnd w:id="147"/>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发包人应按照法律规定及合同约定完成与工程质量有关的各项工作。</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5.2.2 承包人的质量管理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承包人应对施工人员进行质量教育和技术培训，定期考核施工人员的劳动技能，严格执行施工规范和操作规程。</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bookmarkStart w:id="148" w:name="_Toc160553041"/>
      <w:r>
        <w:rPr>
          <w:rFonts w:hint="eastAsia" w:ascii="宋体" w:hAnsi="宋体" w:eastAsia="宋体" w:cs="宋体"/>
          <w:color w:val="auto"/>
          <w:kern w:val="0"/>
          <w:sz w:val="21"/>
          <w:szCs w:val="21"/>
        </w:rPr>
        <w:t>5.2.3 监理人的质量检查和检验</w:t>
      </w:r>
      <w:bookmarkEnd w:id="148"/>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149" w:name="_Toc160553042"/>
      <w:r>
        <w:rPr>
          <w:rFonts w:hint="eastAsia" w:ascii="宋体" w:hAnsi="宋体" w:eastAsia="宋体" w:cs="宋体"/>
          <w:b w:val="0"/>
          <w:color w:val="auto"/>
          <w:sz w:val="21"/>
          <w:szCs w:val="21"/>
        </w:rPr>
        <w:t>5</w:t>
      </w:r>
      <w:bookmarkStart w:id="150" w:name="_Toc337558761"/>
      <w:r>
        <w:rPr>
          <w:rFonts w:hint="eastAsia" w:ascii="宋体" w:hAnsi="宋体" w:eastAsia="宋体" w:cs="宋体"/>
          <w:b w:val="0"/>
          <w:color w:val="auto"/>
          <w:sz w:val="21"/>
          <w:szCs w:val="21"/>
        </w:rPr>
        <w:t>.3 隐蔽工程检查</w:t>
      </w:r>
      <w:bookmarkEnd w:id="149"/>
    </w:p>
    <w:bookmarkEnd w:id="150"/>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5.3.1承包人自检</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承包人应当对工程隐蔽部位进行自检，并经自检确认是否具备覆盖条件。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5.3.2检查程序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5.3.3 重新检查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5.3.4 承包人私自覆盖</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承包人未通知监理人到场检查，私自将工程隐蔽部位覆盖的，监理人有权指示承包人钻孔探测或揭开检查，无论工程隐蔽部位质量是否合格，由此增加的费用和（或）延误的工期均由承包人承担。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151" w:name="_Toc160553043"/>
      <w:r>
        <w:rPr>
          <w:rFonts w:hint="eastAsia" w:ascii="宋体" w:hAnsi="宋体" w:eastAsia="宋体" w:cs="宋体"/>
          <w:b w:val="0"/>
          <w:color w:val="auto"/>
          <w:sz w:val="21"/>
          <w:szCs w:val="21"/>
        </w:rPr>
        <w:t>5</w:t>
      </w:r>
      <w:bookmarkStart w:id="152" w:name="_Toc337558762"/>
      <w:r>
        <w:rPr>
          <w:rFonts w:hint="eastAsia" w:ascii="宋体" w:hAnsi="宋体" w:eastAsia="宋体" w:cs="宋体"/>
          <w:b w:val="0"/>
          <w:color w:val="auto"/>
          <w:sz w:val="21"/>
          <w:szCs w:val="21"/>
        </w:rPr>
        <w:t>.4不合格工程的处理</w:t>
      </w:r>
      <w:bookmarkEnd w:id="151"/>
    </w:p>
    <w:bookmarkEnd w:id="152"/>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5.4.2 因发包人原因造成工程不合格的，由此增加的费用和（或）延误的工期由发包人承担，并支付承包人合理的利润。</w:t>
      </w:r>
    </w:p>
    <w:p>
      <w:pPr>
        <w:pStyle w:val="6"/>
        <w:spacing w:before="120" w:after="120" w:line="360" w:lineRule="auto"/>
        <w:ind w:firstLine="420" w:firstLineChars="200"/>
        <w:rPr>
          <w:rFonts w:hint="eastAsia" w:ascii="宋体" w:hAnsi="宋体" w:eastAsia="宋体" w:cs="宋体"/>
          <w:b w:val="0"/>
          <w:color w:val="auto"/>
          <w:sz w:val="21"/>
          <w:szCs w:val="21"/>
        </w:rPr>
      </w:pPr>
      <w:bookmarkStart w:id="153" w:name="_Toc160553044"/>
      <w:r>
        <w:rPr>
          <w:rFonts w:hint="eastAsia" w:ascii="宋体" w:hAnsi="宋体" w:eastAsia="宋体" w:cs="宋体"/>
          <w:b w:val="0"/>
          <w:color w:val="auto"/>
          <w:sz w:val="21"/>
          <w:szCs w:val="21"/>
        </w:rPr>
        <w:t>5.5 质量争议检测</w:t>
      </w:r>
      <w:bookmarkEnd w:id="153"/>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合同当事人对工程质量有争议的，由双方协商确定的工程质量检测机构鉴定，由此产生的费用及因此造成的损失，由责任方承担。</w:t>
      </w:r>
    </w:p>
    <w:p>
      <w:pPr>
        <w:autoSpaceDE w:val="0"/>
        <w:autoSpaceDN w:val="0"/>
        <w:adjustRightInd w:val="0"/>
        <w:spacing w:line="360" w:lineRule="auto"/>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合同当事人均有责任的，由双方根据其责任分别承担。合同当事人无法达成一致的，按照第4.4款〔商定或确定〕执行。</w:t>
      </w:r>
    </w:p>
    <w:p>
      <w:pPr>
        <w:pStyle w:val="5"/>
        <w:spacing w:before="120" w:after="120" w:line="360" w:lineRule="auto"/>
        <w:rPr>
          <w:rFonts w:hint="eastAsia" w:ascii="宋体" w:hAnsi="宋体" w:eastAsia="宋体" w:cs="宋体"/>
          <w:b w:val="0"/>
          <w:color w:val="auto"/>
          <w:sz w:val="21"/>
          <w:szCs w:val="21"/>
        </w:rPr>
      </w:pPr>
      <w:bookmarkStart w:id="154" w:name="_Toc160553045"/>
      <w:r>
        <w:rPr>
          <w:rFonts w:hint="eastAsia" w:ascii="宋体" w:hAnsi="宋体" w:eastAsia="宋体" w:cs="宋体"/>
          <w:b w:val="0"/>
          <w:color w:val="auto"/>
          <w:sz w:val="21"/>
          <w:szCs w:val="21"/>
        </w:rPr>
        <w:t>6</w:t>
      </w:r>
      <w:bookmarkStart w:id="155" w:name="_Toc337558763"/>
      <w:r>
        <w:rPr>
          <w:rFonts w:hint="eastAsia" w:ascii="宋体" w:hAnsi="宋体" w:eastAsia="宋体" w:cs="宋体"/>
          <w:b w:val="0"/>
          <w:color w:val="auto"/>
          <w:sz w:val="21"/>
          <w:szCs w:val="21"/>
        </w:rPr>
        <w:t>. 安全文明施工与环境保护</w:t>
      </w:r>
      <w:bookmarkEnd w:id="154"/>
    </w:p>
    <w:bookmarkEnd w:id="155"/>
    <w:p>
      <w:pPr>
        <w:pStyle w:val="6"/>
        <w:spacing w:before="120" w:after="120" w:line="360" w:lineRule="auto"/>
        <w:ind w:firstLine="420" w:firstLineChars="200"/>
        <w:rPr>
          <w:rFonts w:hint="eastAsia" w:ascii="宋体" w:hAnsi="宋体" w:eastAsia="宋体" w:cs="宋体"/>
          <w:b w:val="0"/>
          <w:color w:val="auto"/>
          <w:sz w:val="21"/>
          <w:szCs w:val="21"/>
        </w:rPr>
      </w:pPr>
      <w:bookmarkStart w:id="156" w:name="_Toc160553046"/>
      <w:r>
        <w:rPr>
          <w:rFonts w:hint="eastAsia" w:ascii="宋体" w:hAnsi="宋体" w:eastAsia="宋体" w:cs="宋体"/>
          <w:b w:val="0"/>
          <w:color w:val="auto"/>
          <w:sz w:val="21"/>
          <w:szCs w:val="21"/>
        </w:rPr>
        <w:t>6</w:t>
      </w:r>
      <w:bookmarkStart w:id="157" w:name="_Toc337558764"/>
      <w:r>
        <w:rPr>
          <w:rFonts w:hint="eastAsia" w:ascii="宋体" w:hAnsi="宋体" w:eastAsia="宋体" w:cs="宋体"/>
          <w:b w:val="0"/>
          <w:color w:val="auto"/>
          <w:sz w:val="21"/>
          <w:szCs w:val="21"/>
        </w:rPr>
        <w:t>.1安全文明施工</w:t>
      </w:r>
      <w:bookmarkEnd w:id="156"/>
    </w:p>
    <w:bookmarkEnd w:id="157"/>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6.1.1安全生产要求</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auto"/>
          <w:kern w:val="0"/>
          <w:sz w:val="21"/>
          <w:szCs w:val="21"/>
        </w:rPr>
        <w:t>政府有关行政管理部门</w:t>
      </w:r>
      <w:r>
        <w:rPr>
          <w:rFonts w:hint="eastAsia" w:ascii="宋体" w:hAnsi="宋体" w:eastAsia="宋体" w:cs="宋体"/>
          <w:color w:val="auto"/>
          <w:sz w:val="21"/>
          <w:szCs w:val="21"/>
        </w:rPr>
        <w:t>采取应急措施。</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因安全生产需要暂停施工的，按照第7.8款〔暂停施工〕的约定执行。</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6.1.2 安全生产保证措施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承包人应当按照有关</w:t>
      </w:r>
      <w:r>
        <w:rPr>
          <w:rFonts w:hint="eastAsia" w:ascii="宋体" w:hAnsi="宋体" w:eastAsia="宋体" w:cs="宋体"/>
          <w:color w:val="auto"/>
          <w:kern w:val="0"/>
          <w:sz w:val="21"/>
          <w:szCs w:val="21"/>
        </w:rPr>
        <w:t>规定编制安全技术措施或者专项施工方案，</w:t>
      </w:r>
      <w:r>
        <w:rPr>
          <w:rFonts w:hint="eastAsia" w:ascii="宋体" w:hAnsi="宋体" w:eastAsia="宋体" w:cs="宋体"/>
          <w:color w:val="auto"/>
          <w:sz w:val="21"/>
          <w:szCs w:val="21"/>
        </w:rPr>
        <w:t>建立安全生产责任制度、治安保卫制度及安全生产教育培训制度，并</w:t>
      </w:r>
      <w:r>
        <w:rPr>
          <w:rFonts w:hint="eastAsia" w:ascii="宋体" w:hAnsi="宋体" w:eastAsia="宋体" w:cs="宋体"/>
          <w:color w:val="auto"/>
          <w:kern w:val="0"/>
          <w:sz w:val="21"/>
          <w:szCs w:val="21"/>
        </w:rPr>
        <w:t>按安全生产法律规定及合同约定履行安全职责，如实</w:t>
      </w:r>
      <w:r>
        <w:rPr>
          <w:rFonts w:hint="eastAsia" w:ascii="宋体" w:hAnsi="宋体" w:eastAsia="宋体" w:cs="宋体"/>
          <w:color w:val="auto"/>
          <w:sz w:val="21"/>
          <w:szCs w:val="21"/>
        </w:rPr>
        <w:t>编制工程安全生产的有关记录，</w:t>
      </w:r>
      <w:r>
        <w:rPr>
          <w:rFonts w:hint="eastAsia" w:ascii="宋体" w:hAnsi="宋体" w:eastAsia="宋体" w:cs="宋体"/>
          <w:color w:val="auto"/>
          <w:kern w:val="0"/>
          <w:sz w:val="21"/>
          <w:szCs w:val="21"/>
        </w:rPr>
        <w:t>接受发包人、监理人及政府安全监督部门的检查与监督。</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6.1.3特别安全生产事项</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承包人在动力设备、输电线路、地下管道、密封防震车间、易燃易爆地段以及临街交通要道附近施工时，施工开始前应向发包人和监理人提出安全防护措施，经发包人认可后实施。 </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实施爆破作业，在放射、毒害性环境中施工（含储存、运输、使用）及使用毒害性、腐蚀性物品施工时，承包人应在施工前7天以书面通知发包人和监理人，并报送相应的安全防护措施，经发包人认可后实施。</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需单独编制危险性较大分部分项专项工程施工方案的，及要求进行专家论证的超过一定规模的危险性较大的分部分项工程，承包人应及时编制和组织论证。</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6.1.4 治安保卫</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除专用合同条款另有约定外，发包人应与当地公安部门协商，在现场建立治安管理机构或联防组织，统一管理施工场地的治安保卫事项，履行合同工程的治安保卫职责。</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发包人和承包人除应协助现场治安管理机构或联防组织维护施工场地的社会治安外，还应做好包括生活区在内的各自管辖区的治安保卫工作。</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sz w:val="21"/>
          <w:szCs w:val="21"/>
        </w:rPr>
        <w:t>6.1.5 文明施工</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6.1.6 安全文明施工费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安全文明施工费由发包人承担，发包人不得以任何形式扣减该部分费用。因基准日期后合同所适用的法律或政府有关规定发生变化，增加的安全文明施工费由发包人承担。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6.1.7 紧急情况处理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6.1.8 事故处理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6.1.9 安全生产责任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6.1.9.1 发包人的安全责任</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发包人应负责赔偿以下各种情况造成的损失：</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（1）工程或工程的任何部分对土地的占用所造成的第三者财产损失；</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（2）由于发包人原因在施工场地及其毗邻地带造成的第三者人身伤亡和财产损失；</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（3）由于发包人原因对承包人、监理人造成的人员人身伤亡和财产损失；</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（4）由于发包人原因造成的发包人自身人员的人身伤害以及财产损失。</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6.1.9.2 承包人的安全责任</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sz w:val="21"/>
          <w:szCs w:val="21"/>
        </w:rPr>
        <w:t>由于承包人原因在施工场地内及其毗邻地带造成的发包人、监理人以及第三者人员伤亡和财产损失，由承包人负责赔偿。</w:t>
      </w:r>
    </w:p>
    <w:p>
      <w:pPr>
        <w:pStyle w:val="6"/>
        <w:spacing w:before="120" w:after="120" w:line="360" w:lineRule="auto"/>
        <w:ind w:firstLine="420" w:firstLineChars="200"/>
        <w:rPr>
          <w:rFonts w:hint="eastAsia" w:ascii="宋体" w:hAnsi="宋体" w:eastAsia="宋体" w:cs="宋体"/>
          <w:b w:val="0"/>
          <w:color w:val="auto"/>
          <w:sz w:val="21"/>
          <w:szCs w:val="21"/>
        </w:rPr>
      </w:pPr>
      <w:bookmarkStart w:id="158" w:name="_Toc160553047"/>
      <w:r>
        <w:rPr>
          <w:rFonts w:hint="eastAsia" w:ascii="宋体" w:hAnsi="宋体" w:eastAsia="宋体" w:cs="宋体"/>
          <w:b w:val="0"/>
          <w:color w:val="auto"/>
          <w:sz w:val="21"/>
          <w:szCs w:val="21"/>
        </w:rPr>
        <w:t>6</w:t>
      </w:r>
      <w:bookmarkStart w:id="159" w:name="_Toc337558765"/>
      <w:r>
        <w:rPr>
          <w:rFonts w:hint="eastAsia" w:ascii="宋体" w:hAnsi="宋体" w:eastAsia="宋体" w:cs="宋体"/>
          <w:b w:val="0"/>
          <w:color w:val="auto"/>
          <w:sz w:val="21"/>
          <w:szCs w:val="21"/>
        </w:rPr>
        <w:t>.2 职业健康</w:t>
      </w:r>
      <w:bookmarkEnd w:id="158"/>
    </w:p>
    <w:bookmarkEnd w:id="159"/>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6.2.1 劳动保护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承包人应按法律规定安排工作时间，保证其雇佣人员享有休息和休假的权利。因工程施工的特殊需要占用休假日或延长工作时间的，应不超过法律规定的限度，并按法律规定给予补休或付酬。</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6.2.2 生活条件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6"/>
        <w:spacing w:before="120" w:after="120" w:line="360" w:lineRule="auto"/>
        <w:ind w:firstLine="420" w:firstLineChars="200"/>
        <w:rPr>
          <w:rFonts w:hint="eastAsia" w:ascii="宋体" w:hAnsi="宋体" w:eastAsia="宋体" w:cs="宋体"/>
          <w:b w:val="0"/>
          <w:color w:val="auto"/>
          <w:sz w:val="21"/>
          <w:szCs w:val="21"/>
        </w:rPr>
      </w:pPr>
      <w:bookmarkStart w:id="160" w:name="_Toc160553048"/>
      <w:r>
        <w:rPr>
          <w:rFonts w:hint="eastAsia" w:ascii="宋体" w:hAnsi="宋体" w:eastAsia="宋体" w:cs="宋体"/>
          <w:b w:val="0"/>
          <w:color w:val="auto"/>
          <w:sz w:val="21"/>
          <w:szCs w:val="21"/>
        </w:rPr>
        <w:t>6</w:t>
      </w:r>
      <w:bookmarkStart w:id="161" w:name="_Toc337558766"/>
      <w:r>
        <w:rPr>
          <w:rFonts w:hint="eastAsia" w:ascii="宋体" w:hAnsi="宋体" w:eastAsia="宋体" w:cs="宋体"/>
          <w:b w:val="0"/>
          <w:color w:val="auto"/>
          <w:sz w:val="21"/>
          <w:szCs w:val="21"/>
        </w:rPr>
        <w:t>.3 环境保护</w:t>
      </w:r>
      <w:bookmarkEnd w:id="160"/>
    </w:p>
    <w:bookmarkEnd w:id="161"/>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承包人应当承担因其原因引起的环境污染侵权损害赔偿责任，因上述环境污染引起纠纷而导致暂停施工的，由此增加的费用和（或）延误的工期由承包人承担。</w:t>
      </w:r>
    </w:p>
    <w:p>
      <w:pPr>
        <w:pStyle w:val="5"/>
        <w:spacing w:before="120" w:after="120" w:line="360" w:lineRule="auto"/>
        <w:rPr>
          <w:rFonts w:hint="eastAsia" w:ascii="宋体" w:hAnsi="宋体" w:eastAsia="宋体" w:cs="宋体"/>
          <w:b w:val="0"/>
          <w:color w:val="auto"/>
          <w:sz w:val="21"/>
          <w:szCs w:val="21"/>
        </w:rPr>
      </w:pPr>
      <w:bookmarkStart w:id="162" w:name="_Toc160553049"/>
      <w:r>
        <w:rPr>
          <w:rFonts w:hint="eastAsia" w:ascii="宋体" w:hAnsi="宋体" w:eastAsia="宋体" w:cs="宋体"/>
          <w:b w:val="0"/>
          <w:color w:val="auto"/>
          <w:sz w:val="21"/>
          <w:szCs w:val="21"/>
        </w:rPr>
        <w:t>7</w:t>
      </w:r>
      <w:bookmarkStart w:id="163" w:name="_Toc337558767"/>
      <w:r>
        <w:rPr>
          <w:rFonts w:hint="eastAsia" w:ascii="宋体" w:hAnsi="宋体" w:eastAsia="宋体" w:cs="宋体"/>
          <w:b w:val="0"/>
          <w:color w:val="auto"/>
          <w:sz w:val="21"/>
          <w:szCs w:val="21"/>
        </w:rPr>
        <w:t>. 工期和进度</w:t>
      </w:r>
      <w:bookmarkEnd w:id="162"/>
    </w:p>
    <w:bookmarkEnd w:id="163"/>
    <w:p>
      <w:pPr>
        <w:pStyle w:val="6"/>
        <w:spacing w:before="120" w:after="120" w:line="360" w:lineRule="auto"/>
        <w:ind w:firstLine="420" w:firstLineChars="200"/>
        <w:rPr>
          <w:rFonts w:hint="eastAsia" w:ascii="宋体" w:hAnsi="宋体" w:eastAsia="宋体" w:cs="宋体"/>
          <w:b w:val="0"/>
          <w:color w:val="auto"/>
          <w:sz w:val="21"/>
          <w:szCs w:val="21"/>
        </w:rPr>
      </w:pPr>
      <w:bookmarkStart w:id="164" w:name="_Toc160553050"/>
      <w:r>
        <w:rPr>
          <w:rFonts w:hint="eastAsia" w:ascii="宋体" w:hAnsi="宋体" w:eastAsia="宋体" w:cs="宋体"/>
          <w:b w:val="0"/>
          <w:color w:val="auto"/>
          <w:sz w:val="21"/>
          <w:szCs w:val="21"/>
        </w:rPr>
        <w:t>7</w:t>
      </w:r>
      <w:bookmarkStart w:id="165" w:name="_Toc337558768"/>
      <w:bookmarkStart w:id="166" w:name="_Toc296346567"/>
      <w:bookmarkStart w:id="167" w:name="_Toc296503066"/>
      <w:r>
        <w:rPr>
          <w:rFonts w:hint="eastAsia" w:ascii="宋体" w:hAnsi="宋体" w:eastAsia="宋体" w:cs="宋体"/>
          <w:b w:val="0"/>
          <w:color w:val="auto"/>
          <w:sz w:val="21"/>
          <w:szCs w:val="21"/>
        </w:rPr>
        <w:t>.1施工组织设计</w:t>
      </w:r>
      <w:bookmarkEnd w:id="164"/>
    </w:p>
    <w:bookmarkEnd w:id="165"/>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 xml:space="preserve">7.1.1 </w:t>
      </w:r>
      <w:r>
        <w:rPr>
          <w:rFonts w:hint="eastAsia" w:ascii="宋体" w:hAnsi="宋体" w:eastAsia="宋体" w:cs="宋体"/>
          <w:color w:val="auto"/>
          <w:kern w:val="0"/>
          <w:sz w:val="21"/>
          <w:szCs w:val="21"/>
        </w:rPr>
        <w:t>施工组织设计的内容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施工组织设计应包含以下内容：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（1）施工方案；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（2）施工现场平面布置图；</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（3）施工进度计划和保证措施；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（4）劳动力及材料供应计划；</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（5）施工机械设备的选用；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（6）质量保证体系及措施；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（7）安全生产、文明施工措施；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（8）环境保护、成本控制措施；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（9）合同当事人约定的其他内容。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 xml:space="preserve">7.1.2 </w:t>
      </w:r>
      <w:r>
        <w:rPr>
          <w:rFonts w:hint="eastAsia" w:ascii="宋体" w:hAnsi="宋体" w:eastAsia="宋体" w:cs="宋体"/>
          <w:color w:val="auto"/>
          <w:kern w:val="0"/>
          <w:sz w:val="21"/>
          <w:szCs w:val="21"/>
        </w:rPr>
        <w:t>施工组织设计的提交和修改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施工进度计划的编制和修改按照第7.2款〔施工进度计划〕执行。</w:t>
      </w:r>
    </w:p>
    <w:p>
      <w:pPr>
        <w:pStyle w:val="6"/>
        <w:spacing w:before="120" w:after="120" w:line="360" w:lineRule="auto"/>
        <w:ind w:firstLine="420" w:firstLineChars="200"/>
        <w:rPr>
          <w:rFonts w:hint="eastAsia" w:ascii="宋体" w:hAnsi="宋体" w:eastAsia="宋体" w:cs="宋体"/>
          <w:b w:val="0"/>
          <w:color w:val="auto"/>
          <w:sz w:val="21"/>
          <w:szCs w:val="21"/>
        </w:rPr>
      </w:pPr>
      <w:bookmarkStart w:id="168" w:name="_Toc160553051"/>
      <w:r>
        <w:rPr>
          <w:rFonts w:hint="eastAsia" w:ascii="宋体" w:hAnsi="宋体" w:eastAsia="宋体" w:cs="宋体"/>
          <w:b w:val="0"/>
          <w:color w:val="auto"/>
          <w:sz w:val="21"/>
          <w:szCs w:val="21"/>
        </w:rPr>
        <w:t>7</w:t>
      </w:r>
      <w:bookmarkStart w:id="169" w:name="_Toc337558769"/>
      <w:r>
        <w:rPr>
          <w:rFonts w:hint="eastAsia" w:ascii="宋体" w:hAnsi="宋体" w:eastAsia="宋体" w:cs="宋体"/>
          <w:b w:val="0"/>
          <w:color w:val="auto"/>
          <w:sz w:val="21"/>
          <w:szCs w:val="21"/>
        </w:rPr>
        <w:t>.2 施工进度计划</w:t>
      </w:r>
      <w:bookmarkEnd w:id="168"/>
    </w:p>
    <w:bookmarkEnd w:id="169"/>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7.2.1 施工进度计划的编制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7.2.2 施工进度计划的修订</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6"/>
        <w:spacing w:before="120" w:after="120" w:line="360" w:lineRule="auto"/>
        <w:ind w:firstLine="420" w:firstLineChars="200"/>
        <w:rPr>
          <w:rFonts w:hint="eastAsia" w:ascii="宋体" w:hAnsi="宋体" w:eastAsia="宋体" w:cs="宋体"/>
          <w:b w:val="0"/>
          <w:color w:val="auto"/>
          <w:sz w:val="21"/>
          <w:szCs w:val="21"/>
        </w:rPr>
      </w:pPr>
      <w:bookmarkStart w:id="170" w:name="_Toc160553052"/>
      <w:r>
        <w:rPr>
          <w:rFonts w:hint="eastAsia" w:ascii="宋体" w:hAnsi="宋体" w:eastAsia="宋体" w:cs="宋体"/>
          <w:b w:val="0"/>
          <w:color w:val="auto"/>
          <w:sz w:val="21"/>
          <w:szCs w:val="21"/>
        </w:rPr>
        <w:t>7</w:t>
      </w:r>
      <w:bookmarkStart w:id="171" w:name="_Toc337558770"/>
      <w:r>
        <w:rPr>
          <w:rFonts w:hint="eastAsia" w:ascii="宋体" w:hAnsi="宋体" w:eastAsia="宋体" w:cs="宋体"/>
          <w:b w:val="0"/>
          <w:color w:val="auto"/>
          <w:sz w:val="21"/>
          <w:szCs w:val="21"/>
        </w:rPr>
        <w:t>.3 开工</w:t>
      </w:r>
      <w:bookmarkEnd w:id="170"/>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7.3.1 开工准备</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除专用合同条款另有约定外，合同当事人应按约定完成开工准备工作。</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7.3.2 开工通知</w:t>
      </w:r>
    </w:p>
    <w:bookmarkEnd w:id="171"/>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6"/>
        <w:spacing w:before="120" w:after="120" w:line="360" w:lineRule="auto"/>
        <w:ind w:firstLine="420" w:firstLineChars="200"/>
        <w:rPr>
          <w:rFonts w:hint="eastAsia" w:ascii="宋体" w:hAnsi="宋体" w:eastAsia="宋体" w:cs="宋体"/>
          <w:b w:val="0"/>
          <w:color w:val="auto"/>
          <w:sz w:val="21"/>
          <w:szCs w:val="21"/>
        </w:rPr>
      </w:pPr>
      <w:bookmarkStart w:id="172" w:name="_Toc160553053"/>
      <w:r>
        <w:rPr>
          <w:rFonts w:hint="eastAsia" w:ascii="宋体" w:hAnsi="宋体" w:eastAsia="宋体" w:cs="宋体"/>
          <w:b w:val="0"/>
          <w:color w:val="auto"/>
          <w:sz w:val="21"/>
          <w:szCs w:val="21"/>
        </w:rPr>
        <w:t>7.4测量放线</w:t>
      </w:r>
      <w:bookmarkEnd w:id="172"/>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7.4.2 承包人负责施工过程中的全部施工测量放线工作，并配置具有相应资质的人员、合格的仪器、设备和其他物品。承包人应矫正工程的位置、标高、尺寸或准线中出现的任何差错，并对工程各部分的定位负责。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施工过程中对施工现场内水准点等测量标志物的保护工作由承包人负责。</w:t>
      </w:r>
    </w:p>
    <w:p>
      <w:pPr>
        <w:pStyle w:val="6"/>
        <w:spacing w:before="120" w:after="120" w:line="360" w:lineRule="auto"/>
        <w:ind w:firstLine="420" w:firstLineChars="200"/>
        <w:rPr>
          <w:rFonts w:hint="eastAsia" w:ascii="宋体" w:hAnsi="宋体" w:eastAsia="宋体" w:cs="宋体"/>
          <w:b w:val="0"/>
          <w:color w:val="auto"/>
          <w:sz w:val="21"/>
          <w:szCs w:val="21"/>
        </w:rPr>
      </w:pPr>
      <w:bookmarkStart w:id="173" w:name="_Toc160553054"/>
      <w:r>
        <w:rPr>
          <w:rFonts w:hint="eastAsia" w:ascii="宋体" w:hAnsi="宋体" w:eastAsia="宋体" w:cs="宋体"/>
          <w:b w:val="0"/>
          <w:color w:val="auto"/>
          <w:sz w:val="21"/>
          <w:szCs w:val="21"/>
        </w:rPr>
        <w:t>7</w:t>
      </w:r>
      <w:bookmarkEnd w:id="166"/>
      <w:bookmarkEnd w:id="167"/>
      <w:bookmarkStart w:id="174" w:name="_Toc296503073"/>
      <w:bookmarkStart w:id="175" w:name="_Toc337558772"/>
      <w:bookmarkStart w:id="176" w:name="_Toc296346574"/>
      <w:r>
        <w:rPr>
          <w:rFonts w:hint="eastAsia" w:ascii="宋体" w:hAnsi="宋体" w:eastAsia="宋体" w:cs="宋体"/>
          <w:b w:val="0"/>
          <w:color w:val="auto"/>
          <w:sz w:val="21"/>
          <w:szCs w:val="21"/>
        </w:rPr>
        <w:t>.5 工期延误</w:t>
      </w:r>
      <w:bookmarkEnd w:id="173"/>
    </w:p>
    <w:bookmarkEnd w:id="174"/>
    <w:bookmarkEnd w:id="175"/>
    <w:bookmarkEnd w:id="176"/>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7.5.1 因发包人原因导致工期延误</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在合同履行过程中，因下列情况导致工期延误和（或）费用增加的，由发包人承担由此延误的工期和（或）增加的费用，且发包人应支付承包人合理的利润： </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（1）发包人未能按合同约定提供图纸或所提供图纸不符合合同约定的；</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（2）发包人未能按合同约定提供施工现场、施工条件、基础资料、许可、批准等开工条件的；</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（3）发包人提供的测量基准点、基准线和水准点及其书面资料存在错误或疏漏的；</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（4）发包人未能在计划开工日期之日起7天内同意下达开工通知的；</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（5）发包人未能按合同约定日期支付工程预付款、进度款或竣工结算款的；</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（6）监理人未按合同约定发出指示、批准等文件的；</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（7）专用合同条款中约定的其他情形。</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7.5.2 因承包人原因导致工期延误</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bookmarkStart w:id="177" w:name="_Toc296346577"/>
      <w:bookmarkStart w:id="178" w:name="_Toc296503076"/>
      <w:r>
        <w:rPr>
          <w:rFonts w:hint="eastAsia" w:ascii="宋体" w:hAnsi="宋体" w:eastAsia="宋体" w:cs="宋体"/>
          <w:color w:val="auto"/>
          <w:kern w:val="0"/>
          <w:sz w:val="21"/>
          <w:szCs w:val="21"/>
        </w:rPr>
        <w:t>因</w:t>
      </w:r>
      <w:bookmarkEnd w:id="177"/>
      <w:bookmarkEnd w:id="178"/>
      <w:r>
        <w:rPr>
          <w:rFonts w:hint="eastAsia" w:ascii="宋体" w:hAnsi="宋体" w:eastAsia="宋体" w:cs="宋体"/>
          <w:color w:val="auto"/>
          <w:kern w:val="0"/>
          <w:sz w:val="21"/>
          <w:szCs w:val="21"/>
        </w:rPr>
        <w:t>承包人原因造成工期延误的，可以在专用合同条款中约定逾期竣工违约金的计算方法和逾期竣工违约金的上限。承包人支付逾期竣工违约金后，不免除承包人继续完成工程及修补缺陷的义务。</w:t>
      </w:r>
    </w:p>
    <w:p>
      <w:pPr>
        <w:pStyle w:val="6"/>
        <w:spacing w:before="120" w:after="120" w:line="360" w:lineRule="auto"/>
        <w:ind w:firstLine="420" w:firstLineChars="200"/>
        <w:rPr>
          <w:rFonts w:hint="eastAsia" w:ascii="宋体" w:hAnsi="宋体" w:eastAsia="宋体" w:cs="宋体"/>
          <w:b w:val="0"/>
          <w:color w:val="auto"/>
          <w:sz w:val="21"/>
          <w:szCs w:val="21"/>
        </w:rPr>
      </w:pPr>
      <w:bookmarkStart w:id="179" w:name="_Toc160553055"/>
      <w:r>
        <w:rPr>
          <w:rFonts w:hint="eastAsia" w:ascii="宋体" w:hAnsi="宋体" w:eastAsia="宋体" w:cs="宋体"/>
          <w:b w:val="0"/>
          <w:color w:val="auto"/>
          <w:sz w:val="21"/>
          <w:szCs w:val="21"/>
        </w:rPr>
        <w:t>7</w:t>
      </w:r>
      <w:bookmarkStart w:id="180" w:name="_Toc337558773"/>
      <w:bookmarkStart w:id="181" w:name="_Toc296346575"/>
      <w:bookmarkStart w:id="182" w:name="_Toc296503074"/>
      <w:bookmarkStart w:id="183" w:name="_Toc296503077"/>
      <w:bookmarkStart w:id="184" w:name="_Toc296346578"/>
      <w:r>
        <w:rPr>
          <w:rFonts w:hint="eastAsia" w:ascii="宋体" w:hAnsi="宋体" w:eastAsia="宋体" w:cs="宋体"/>
          <w:b w:val="0"/>
          <w:color w:val="auto"/>
          <w:sz w:val="21"/>
          <w:szCs w:val="21"/>
        </w:rPr>
        <w:t>.6 不利物质条件</w:t>
      </w:r>
      <w:bookmarkEnd w:id="179"/>
    </w:p>
    <w:bookmarkEnd w:id="180"/>
    <w:bookmarkEnd w:id="181"/>
    <w:bookmarkEnd w:id="182"/>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185" w:name="_Toc160553056"/>
      <w:r>
        <w:rPr>
          <w:rFonts w:hint="eastAsia" w:ascii="宋体" w:hAnsi="宋体" w:eastAsia="宋体" w:cs="宋体"/>
          <w:b w:val="0"/>
          <w:color w:val="auto"/>
          <w:sz w:val="21"/>
          <w:szCs w:val="21"/>
        </w:rPr>
        <w:t>7</w:t>
      </w:r>
      <w:bookmarkStart w:id="186" w:name="_Toc296503075"/>
      <w:bookmarkStart w:id="187" w:name="_Toc296346576"/>
      <w:bookmarkStart w:id="188" w:name="_Toc337558774"/>
      <w:r>
        <w:rPr>
          <w:rFonts w:hint="eastAsia" w:ascii="宋体" w:hAnsi="宋体" w:eastAsia="宋体" w:cs="宋体"/>
          <w:b w:val="0"/>
          <w:color w:val="auto"/>
          <w:sz w:val="21"/>
          <w:szCs w:val="21"/>
        </w:rPr>
        <w:t>.7 异常恶劣的气候条件</w:t>
      </w:r>
      <w:bookmarkEnd w:id="185"/>
    </w:p>
    <w:bookmarkEnd w:id="186"/>
    <w:bookmarkEnd w:id="187"/>
    <w:bookmarkEnd w:id="188"/>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pPr>
        <w:autoSpaceDE w:val="0"/>
        <w:autoSpaceDN w:val="0"/>
        <w:adjustRightInd w:val="0"/>
        <w:spacing w:line="360" w:lineRule="auto"/>
        <w:ind w:firstLine="420" w:firstLineChars="200"/>
        <w:jc w:val="left"/>
        <w:outlineLvl w:val="0"/>
        <w:rPr>
          <w:rFonts w:hint="eastAsia" w:ascii="宋体" w:hAnsi="宋体" w:eastAsia="宋体" w:cs="宋体"/>
          <w:bCs/>
          <w:color w:val="auto"/>
          <w:sz w:val="21"/>
          <w:szCs w:val="21"/>
        </w:rPr>
      </w:pPr>
      <w:bookmarkStart w:id="189" w:name="_Toc160553057"/>
      <w:r>
        <w:rPr>
          <w:rFonts w:hint="eastAsia" w:ascii="宋体" w:hAnsi="宋体" w:eastAsia="宋体" w:cs="宋体"/>
          <w:bCs/>
          <w:color w:val="auto"/>
          <w:sz w:val="21"/>
          <w:szCs w:val="21"/>
        </w:rPr>
        <w:t>7</w:t>
      </w:r>
      <w:bookmarkStart w:id="190" w:name="_Toc337558775"/>
      <w:r>
        <w:rPr>
          <w:rFonts w:hint="eastAsia" w:ascii="宋体" w:hAnsi="宋体" w:eastAsia="宋体" w:cs="宋体"/>
          <w:bCs/>
          <w:color w:val="auto"/>
          <w:sz w:val="21"/>
          <w:szCs w:val="21"/>
        </w:rPr>
        <w:t>.8 暂停施工</w:t>
      </w:r>
      <w:bookmarkEnd w:id="189"/>
    </w:p>
    <w:bookmarkEnd w:id="183"/>
    <w:bookmarkEnd w:id="184"/>
    <w:bookmarkEnd w:id="190"/>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7.8.1发包人原因引起的暂停施工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因发包人原因引起暂停施工的，监理人经发包人同意后，应及时下达暂停施工指示。情况紧急且监理人未及时下达暂停施工指示的，按照第7.8.4项〔紧急情况下的暂停施工〕执行。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因发包人原因引起的暂停施工，发包人应承担由此增加的费用和（或）延误的工期，并支付承包人合理的利润。</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7.8.2 承包人原因引起的暂停施工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7.8.3 指示暂停施工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监理人认为有必要时，并经发包人批准后，可向承包人作出暂停施工的指示，承包人应按监理人指示暂停施工。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7.8.4 紧急情况下的暂停施工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7.8.5 暂停施工后的复工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承包人无故拖延和拒绝复工的，承包人承担由此增加的费用和（或）延误的工期；因发包人原因无法按时复工的，按照第7.5.1项〔因发包人原因导致工期延误〕约定办理。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7.8.6 暂停施工持续56天以上</w:t>
      </w:r>
    </w:p>
    <w:p>
      <w:pPr>
        <w:spacing w:line="360" w:lineRule="auto"/>
        <w:ind w:firstLine="409" w:firstLineChars="195"/>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pacing w:line="360" w:lineRule="auto"/>
        <w:ind w:firstLine="409" w:firstLineChars="195"/>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pacing w:line="360" w:lineRule="auto"/>
        <w:ind w:left="16" w:firstLine="409" w:firstLineChars="195"/>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7.8.7 暂停施工期间的工程照管</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暂停施工期间，承包人应负责妥善照管工程并提供安全保障，由此增加的费用由责任方承担。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7.8.8 暂停施工的措施</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暂停施工期间，发包人和承包人均应采取必要的措施确保工程质量及安全，防止因暂停施工扩大损失。</w:t>
      </w:r>
    </w:p>
    <w:p>
      <w:pPr>
        <w:pStyle w:val="6"/>
        <w:spacing w:before="120" w:after="120" w:line="360" w:lineRule="auto"/>
        <w:ind w:firstLine="420" w:firstLineChars="200"/>
        <w:rPr>
          <w:rFonts w:hint="eastAsia" w:ascii="宋体" w:hAnsi="宋体" w:eastAsia="宋体" w:cs="宋体"/>
          <w:b w:val="0"/>
          <w:color w:val="auto"/>
          <w:sz w:val="21"/>
          <w:szCs w:val="21"/>
        </w:rPr>
      </w:pPr>
      <w:bookmarkStart w:id="191" w:name="_Toc160553058"/>
      <w:r>
        <w:rPr>
          <w:rFonts w:hint="eastAsia" w:ascii="宋体" w:hAnsi="宋体" w:eastAsia="宋体" w:cs="宋体"/>
          <w:b w:val="0"/>
          <w:color w:val="auto"/>
          <w:sz w:val="21"/>
          <w:szCs w:val="21"/>
        </w:rPr>
        <w:t>7.9提前竣工</w:t>
      </w:r>
      <w:bookmarkEnd w:id="191"/>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7.9.2 发包人要求承包人提前竣工，或承包人提出提前竣工的建议能够给发包人带来效益的，合同当事人可以在专用合同条款中约定提前竣工的奖励。</w:t>
      </w:r>
    </w:p>
    <w:p>
      <w:pPr>
        <w:pStyle w:val="5"/>
        <w:spacing w:before="120" w:after="120" w:line="360" w:lineRule="auto"/>
        <w:rPr>
          <w:rFonts w:hint="eastAsia" w:ascii="宋体" w:hAnsi="宋体" w:eastAsia="宋体" w:cs="宋体"/>
          <w:b w:val="0"/>
          <w:color w:val="auto"/>
          <w:sz w:val="21"/>
          <w:szCs w:val="21"/>
        </w:rPr>
      </w:pPr>
      <w:bookmarkStart w:id="192" w:name="_Toc160553059"/>
      <w:r>
        <w:rPr>
          <w:rFonts w:hint="eastAsia" w:ascii="宋体" w:hAnsi="宋体" w:eastAsia="宋体" w:cs="宋体"/>
          <w:b w:val="0"/>
          <w:color w:val="auto"/>
          <w:sz w:val="21"/>
          <w:szCs w:val="21"/>
        </w:rPr>
        <w:t>8</w:t>
      </w:r>
      <w:bookmarkStart w:id="193" w:name="_Toc337558776"/>
      <w:bookmarkStart w:id="194" w:name="_Toc296346559"/>
      <w:bookmarkStart w:id="195" w:name="_Toc296503058"/>
      <w:r>
        <w:rPr>
          <w:rFonts w:hint="eastAsia" w:ascii="宋体" w:hAnsi="宋体" w:eastAsia="宋体" w:cs="宋体"/>
          <w:b w:val="0"/>
          <w:color w:val="auto"/>
          <w:sz w:val="21"/>
          <w:szCs w:val="21"/>
        </w:rPr>
        <w:t>. 材料与设备</w:t>
      </w:r>
      <w:bookmarkEnd w:id="192"/>
    </w:p>
    <w:bookmarkEnd w:id="193"/>
    <w:bookmarkEnd w:id="194"/>
    <w:bookmarkEnd w:id="195"/>
    <w:p>
      <w:pPr>
        <w:pStyle w:val="6"/>
        <w:spacing w:before="120" w:after="120" w:line="360" w:lineRule="auto"/>
        <w:ind w:firstLine="420" w:firstLineChars="200"/>
        <w:rPr>
          <w:rFonts w:hint="eastAsia" w:ascii="宋体" w:hAnsi="宋体" w:eastAsia="宋体" w:cs="宋体"/>
          <w:b w:val="0"/>
          <w:color w:val="auto"/>
          <w:sz w:val="21"/>
          <w:szCs w:val="21"/>
        </w:rPr>
      </w:pPr>
      <w:bookmarkStart w:id="196" w:name="_Toc160553060"/>
      <w:r>
        <w:rPr>
          <w:rFonts w:hint="eastAsia" w:ascii="宋体" w:hAnsi="宋体" w:eastAsia="宋体" w:cs="宋体"/>
          <w:b w:val="0"/>
          <w:color w:val="auto"/>
          <w:sz w:val="21"/>
          <w:szCs w:val="21"/>
        </w:rPr>
        <w:t>8</w:t>
      </w:r>
      <w:bookmarkStart w:id="197" w:name="_Toc337558777"/>
      <w:bookmarkStart w:id="198" w:name="_Toc296346560"/>
      <w:bookmarkStart w:id="199" w:name="_Toc296503059"/>
      <w:bookmarkStart w:id="200" w:name="_Toc468936960"/>
      <w:r>
        <w:rPr>
          <w:rFonts w:hint="eastAsia" w:ascii="宋体" w:hAnsi="宋体" w:eastAsia="宋体" w:cs="宋体"/>
          <w:b w:val="0"/>
          <w:color w:val="auto"/>
          <w:sz w:val="21"/>
          <w:szCs w:val="21"/>
        </w:rPr>
        <w:t>.1发包人供应材料与工程设备</w:t>
      </w:r>
      <w:bookmarkEnd w:id="196"/>
    </w:p>
    <w:bookmarkEnd w:id="197"/>
    <w:bookmarkEnd w:id="198"/>
    <w:bookmarkEnd w:id="199"/>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发包人自行供应材料、工程设备的，应在签订合同时在专用合同条款的附件《发包人供应材料设备一览表》中明确材料、工程设备的品种、规格、型号、数量、单价、质量等级和送达地点。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6"/>
        <w:spacing w:before="120" w:after="120" w:line="360" w:lineRule="auto"/>
        <w:ind w:firstLine="420" w:firstLineChars="200"/>
        <w:rPr>
          <w:rFonts w:hint="eastAsia" w:ascii="宋体" w:hAnsi="宋体" w:eastAsia="宋体" w:cs="宋体"/>
          <w:color w:val="auto"/>
          <w:sz w:val="21"/>
          <w:szCs w:val="21"/>
        </w:rPr>
      </w:pPr>
      <w:bookmarkStart w:id="201" w:name="_Toc160553061"/>
      <w:r>
        <w:rPr>
          <w:rFonts w:hint="eastAsia" w:ascii="宋体" w:hAnsi="宋体" w:eastAsia="宋体" w:cs="宋体"/>
          <w:b w:val="0"/>
          <w:color w:val="auto"/>
          <w:sz w:val="21"/>
          <w:szCs w:val="21"/>
        </w:rPr>
        <w:t>8</w:t>
      </w:r>
      <w:bookmarkStart w:id="202" w:name="_Toc337558778"/>
      <w:bookmarkStart w:id="203" w:name="_Toc296503060"/>
      <w:bookmarkStart w:id="204" w:name="_Toc296346561"/>
      <w:r>
        <w:rPr>
          <w:rFonts w:hint="eastAsia" w:ascii="宋体" w:hAnsi="宋体" w:eastAsia="宋体" w:cs="宋体"/>
          <w:b w:val="0"/>
          <w:color w:val="auto"/>
          <w:sz w:val="21"/>
          <w:szCs w:val="21"/>
        </w:rPr>
        <w:t>.2承包人采购材料与工程设备</w:t>
      </w:r>
      <w:bookmarkEnd w:id="201"/>
    </w:p>
    <w:bookmarkEnd w:id="202"/>
    <w:bookmarkEnd w:id="203"/>
    <w:bookmarkEnd w:id="20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6"/>
        <w:spacing w:before="120" w:after="120" w:line="360" w:lineRule="auto"/>
        <w:ind w:firstLine="420" w:firstLineChars="200"/>
        <w:rPr>
          <w:rFonts w:hint="eastAsia" w:ascii="宋体" w:hAnsi="宋体" w:eastAsia="宋体" w:cs="宋体"/>
          <w:b w:val="0"/>
          <w:color w:val="auto"/>
          <w:sz w:val="21"/>
          <w:szCs w:val="21"/>
        </w:rPr>
      </w:pPr>
      <w:bookmarkStart w:id="205" w:name="_Toc160553062"/>
      <w:r>
        <w:rPr>
          <w:rFonts w:hint="eastAsia" w:ascii="宋体" w:hAnsi="宋体" w:eastAsia="宋体" w:cs="宋体"/>
          <w:b w:val="0"/>
          <w:color w:val="auto"/>
          <w:sz w:val="21"/>
          <w:szCs w:val="21"/>
        </w:rPr>
        <w:t>8</w:t>
      </w:r>
      <w:bookmarkStart w:id="206" w:name="_Toc337558779"/>
      <w:bookmarkStart w:id="207" w:name="_Toc296503061"/>
      <w:bookmarkStart w:id="208" w:name="_Toc296346562"/>
      <w:r>
        <w:rPr>
          <w:rFonts w:hint="eastAsia" w:ascii="宋体" w:hAnsi="宋体" w:eastAsia="宋体" w:cs="宋体"/>
          <w:b w:val="0"/>
          <w:color w:val="auto"/>
          <w:sz w:val="21"/>
          <w:szCs w:val="21"/>
        </w:rPr>
        <w:t>.3材料与工程设备的接收与拒收</w:t>
      </w:r>
      <w:bookmarkEnd w:id="205"/>
    </w:p>
    <w:bookmarkEnd w:id="206"/>
    <w:bookmarkEnd w:id="207"/>
    <w:bookmarkEnd w:id="208"/>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发包人提供的材料和工程设备的规格、数量或质量不符合合同约定的，或因发包人原因导致交货日期延误或交货地点变更等情况的，按照第16.1款〔发包人违约〕约定办理。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8.3.2 承包人采购的材料和工程设备，应保证产品质量合格，承包人应在材料和工程设备到货前24小时通知监理人检验。承</w:t>
      </w:r>
      <w:bookmarkStart w:id="209" w:name="_Toc250655469"/>
      <w:r>
        <w:rPr>
          <w:rFonts w:hint="eastAsia" w:ascii="宋体" w:hAnsi="宋体" w:eastAsia="宋体" w:cs="宋体"/>
          <w:color w:val="auto"/>
          <w:kern w:val="0"/>
          <w:sz w:val="21"/>
          <w:szCs w:val="21"/>
        </w:rPr>
        <w:t>包人进行永久设备、材料的制造和生产的，应符合相关质量标准，并向监理人提交材料的样本以及有关资料，并应在使用该材料或工程设备之前获得监理人同意。</w:t>
      </w:r>
    </w:p>
    <w:bookmarkEnd w:id="209"/>
    <w:p>
      <w:pPr>
        <w:autoSpaceDE w:val="0"/>
        <w:autoSpaceDN w:val="0"/>
        <w:adjustRightInd w:val="0"/>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210" w:name="_Toc160553063"/>
      <w:r>
        <w:rPr>
          <w:rFonts w:hint="eastAsia" w:ascii="宋体" w:hAnsi="宋体" w:eastAsia="宋体" w:cs="宋体"/>
          <w:b w:val="0"/>
          <w:color w:val="auto"/>
          <w:sz w:val="21"/>
          <w:szCs w:val="21"/>
        </w:rPr>
        <w:t>8</w:t>
      </w:r>
      <w:bookmarkStart w:id="211" w:name="_Toc337558780"/>
      <w:bookmarkStart w:id="212" w:name="_Toc296346563"/>
      <w:bookmarkStart w:id="213" w:name="_Toc296503062"/>
      <w:r>
        <w:rPr>
          <w:rFonts w:hint="eastAsia" w:ascii="宋体" w:hAnsi="宋体" w:eastAsia="宋体" w:cs="宋体"/>
          <w:b w:val="0"/>
          <w:color w:val="auto"/>
          <w:sz w:val="21"/>
          <w:szCs w:val="21"/>
        </w:rPr>
        <w:t>.4材料与工程设备的保管与使用</w:t>
      </w:r>
      <w:bookmarkEnd w:id="210"/>
    </w:p>
    <w:bookmarkEnd w:id="211"/>
    <w:bookmarkEnd w:id="212"/>
    <w:bookmarkEnd w:id="213"/>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8.4.1 发包人供应</w:t>
      </w:r>
      <w:r>
        <w:rPr>
          <w:rFonts w:hint="eastAsia" w:ascii="宋体" w:hAnsi="宋体" w:eastAsia="宋体" w:cs="宋体"/>
          <w:color w:val="auto"/>
          <w:sz w:val="21"/>
          <w:szCs w:val="21"/>
        </w:rPr>
        <w:t>材料与</w:t>
      </w:r>
      <w:r>
        <w:rPr>
          <w:rFonts w:hint="eastAsia" w:ascii="宋体" w:hAnsi="宋体" w:eastAsia="宋体" w:cs="宋体"/>
          <w:color w:val="auto"/>
          <w:kern w:val="0"/>
          <w:sz w:val="21"/>
          <w:szCs w:val="21"/>
        </w:rPr>
        <w:t>工程</w:t>
      </w:r>
      <w:r>
        <w:rPr>
          <w:rFonts w:hint="eastAsia" w:ascii="宋体" w:hAnsi="宋体" w:eastAsia="宋体" w:cs="宋体"/>
          <w:color w:val="auto"/>
          <w:sz w:val="21"/>
          <w:szCs w:val="21"/>
        </w:rPr>
        <w:t>设备的保管与使用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发包人供应的材料和工程设备使用前，由承包人负责检验，检验费用由发包人承担，不合格的不得使用。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8.4.2 承包人采购</w:t>
      </w:r>
      <w:r>
        <w:rPr>
          <w:rFonts w:hint="eastAsia" w:ascii="宋体" w:hAnsi="宋体" w:eastAsia="宋体" w:cs="宋体"/>
          <w:color w:val="auto"/>
          <w:sz w:val="21"/>
          <w:szCs w:val="21"/>
        </w:rPr>
        <w:t>材料与</w:t>
      </w:r>
      <w:r>
        <w:rPr>
          <w:rFonts w:hint="eastAsia" w:ascii="宋体" w:hAnsi="宋体" w:eastAsia="宋体" w:cs="宋体"/>
          <w:color w:val="auto"/>
          <w:kern w:val="0"/>
          <w:sz w:val="21"/>
          <w:szCs w:val="21"/>
        </w:rPr>
        <w:t>工程</w:t>
      </w:r>
      <w:r>
        <w:rPr>
          <w:rFonts w:hint="eastAsia" w:ascii="宋体" w:hAnsi="宋体" w:eastAsia="宋体" w:cs="宋体"/>
          <w:color w:val="auto"/>
          <w:sz w:val="21"/>
          <w:szCs w:val="21"/>
        </w:rPr>
        <w:t>设备的保管与使用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发包人或监理人发现承包人使用不符合设计或有关标准要求的材料和工程设备时，有权要求承包人进行修复、拆除或重新采购，由此增加的费用和（或）延误的工期，由承包人承担。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214" w:name="_Toc160553064"/>
      <w:r>
        <w:rPr>
          <w:rFonts w:hint="eastAsia" w:ascii="宋体" w:hAnsi="宋体" w:eastAsia="宋体" w:cs="宋体"/>
          <w:b w:val="0"/>
          <w:color w:val="auto"/>
          <w:sz w:val="21"/>
          <w:szCs w:val="21"/>
        </w:rPr>
        <w:t>8.5禁止使用不合格的材料和工程设备</w:t>
      </w:r>
      <w:bookmarkEnd w:id="214"/>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8.5.1 监理人有权拒绝承包人提供的不合格材料或工程设备，并要求承包人立即进行更换。监理人应在更换后再次进行检查和检验，由此增加的费用和（或）延误的工期由承包人承担。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8.5.2 监理人发现承包人使用了不合格的材料和工程设备，承包人应按照监理人的指示立即改正，并禁止在工程中继续使用不合格的材料和工程设备。</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8.5.3 发包人提供的材料或工程设备不符合合同要求的，承包人有权拒绝，并可要求发包人更换，由此增加的费用和（或）延误的工期由发包人承担，并支付承包人合理的利润。</w:t>
      </w:r>
    </w:p>
    <w:p>
      <w:pPr>
        <w:pStyle w:val="6"/>
        <w:spacing w:before="120" w:after="120" w:line="360" w:lineRule="auto"/>
        <w:ind w:firstLine="420" w:firstLineChars="200"/>
        <w:rPr>
          <w:rFonts w:hint="eastAsia" w:ascii="宋体" w:hAnsi="宋体" w:eastAsia="宋体" w:cs="宋体"/>
          <w:b w:val="0"/>
          <w:color w:val="auto"/>
          <w:sz w:val="21"/>
          <w:szCs w:val="21"/>
        </w:rPr>
      </w:pPr>
      <w:bookmarkStart w:id="215" w:name="_Toc160553065"/>
      <w:r>
        <w:rPr>
          <w:rFonts w:hint="eastAsia" w:ascii="宋体" w:hAnsi="宋体" w:eastAsia="宋体" w:cs="宋体"/>
          <w:b w:val="0"/>
          <w:color w:val="auto"/>
          <w:sz w:val="21"/>
          <w:szCs w:val="21"/>
        </w:rPr>
        <w:t>8.6 样品</w:t>
      </w:r>
      <w:bookmarkEnd w:id="215"/>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8.6.1</w:t>
      </w:r>
      <w:r>
        <w:rPr>
          <w:rFonts w:hint="eastAsia" w:ascii="宋体" w:hAnsi="宋体" w:eastAsia="宋体" w:cs="宋体"/>
          <w:color w:val="auto"/>
          <w:kern w:val="0"/>
          <w:sz w:val="21"/>
          <w:szCs w:val="21"/>
        </w:rPr>
        <w:tab/>
      </w:r>
      <w:r>
        <w:rPr>
          <w:rFonts w:hint="eastAsia" w:ascii="宋体" w:hAnsi="宋体" w:eastAsia="宋体" w:cs="宋体"/>
          <w:color w:val="auto"/>
          <w:kern w:val="0"/>
          <w:sz w:val="21"/>
          <w:szCs w:val="21"/>
        </w:rPr>
        <w:t>样品的报送与封存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需要承包人报送样品的材料或工程设备，样品的种类、名称、规格、数量等要求均应在专用合同条款中约定。样品的报送程序如下：</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（3）经发包人和监理人审批确认的样品应按约定的方法封样，封存的样品作为检验工程相关部分的标准之一。承包人在施工过程中不得使用与样品不符的材料或工程设备。</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8.6.2 样品的保管</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经批准的样品应由监理人负责封存于现场，承包人应在现场为保存样品提供适当和固定的场所并保持适当和良好的存储环境条件。</w:t>
      </w:r>
    </w:p>
    <w:p>
      <w:pPr>
        <w:pStyle w:val="6"/>
        <w:spacing w:before="120" w:after="120" w:line="360" w:lineRule="auto"/>
        <w:ind w:firstLine="420" w:firstLineChars="200"/>
        <w:rPr>
          <w:rFonts w:hint="eastAsia" w:ascii="宋体" w:hAnsi="宋体" w:eastAsia="宋体" w:cs="宋体"/>
          <w:b w:val="0"/>
          <w:color w:val="auto"/>
          <w:sz w:val="21"/>
          <w:szCs w:val="21"/>
        </w:rPr>
      </w:pPr>
      <w:bookmarkStart w:id="216" w:name="_Toc160553066"/>
      <w:r>
        <w:rPr>
          <w:rFonts w:hint="eastAsia" w:ascii="宋体" w:hAnsi="宋体" w:eastAsia="宋体" w:cs="宋体"/>
          <w:b w:val="0"/>
          <w:color w:val="auto"/>
          <w:sz w:val="21"/>
          <w:szCs w:val="21"/>
        </w:rPr>
        <w:t>8.7材料与工程设备的替代</w:t>
      </w:r>
      <w:bookmarkEnd w:id="216"/>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8.7.1 出现下列情况需要使用替代材料和工程设备的，承包人应按照第8.7.2项约定的程序执行：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（1）基准日期后生效的法律规定禁止使用的；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（2）发包人要求使用替代品的；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（3）因其他原因必须使用替代品的。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8.7.2 承包人应在使用替代材料和工程设备28天前书面通知监理人，并附下列文件：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（1）被替代的材料和工程设备的名称、数量、规格、型号、品牌、性能、价格及其他相关资料；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（2）替代品的名称、数量、规格、型号、品牌、性能、价格及其他相关资料；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（3）替代品与被替代产品之间的差异以及使用替代品可能对工程产生的影响；</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（4）替代品与被替代产品的价格差异；</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（5）使用替代品的理由和原因说明；</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（6）监理人要求的其他文件。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监理人应在收到通知后14天内向承包人发出经发包人签认的书面指示；监理人逾期发出书面指示的，视为发包人和监理人同意使用替代品。</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6"/>
        <w:spacing w:before="120" w:after="120" w:line="360" w:lineRule="auto"/>
        <w:ind w:firstLine="420" w:firstLineChars="200"/>
        <w:rPr>
          <w:rFonts w:hint="eastAsia" w:ascii="宋体" w:hAnsi="宋体" w:eastAsia="宋体" w:cs="宋体"/>
          <w:b w:val="0"/>
          <w:color w:val="auto"/>
          <w:sz w:val="21"/>
          <w:szCs w:val="21"/>
        </w:rPr>
      </w:pPr>
      <w:bookmarkStart w:id="217" w:name="_Toc160553067"/>
      <w:r>
        <w:rPr>
          <w:rFonts w:hint="eastAsia" w:ascii="宋体" w:hAnsi="宋体" w:eastAsia="宋体" w:cs="宋体"/>
          <w:b w:val="0"/>
          <w:color w:val="auto"/>
          <w:sz w:val="21"/>
          <w:szCs w:val="21"/>
        </w:rPr>
        <w:t>8.8施工设备和临时设施</w:t>
      </w:r>
      <w:bookmarkEnd w:id="217"/>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8.8.1 承包人提供的施工设备和临时设施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承包人应按合同进度计划的要求，及时配置施工设备和修建临时设施。进入施工场地的承包人设备需经监理人核查后才能投入使用。承包人更换合同约定的承包人设备的，应报监理人批准。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除专用合同条款另有约定外，承包人应自行承担修建临时设施的费用，需要临时占地的，应由发包人办理申请手续并承担相应费用。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8.8.2发包人提供的施工设备和临时设施</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发包人提供的施工设备或临时设施在专用合同条款中约定。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8.8.3要求承包人增加或更换施工设备</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承包人使用的施工设备不能满足合同进度计划和（或）质量要求时，监理人有权要求承包人增加或更换施工设备，承包人应及时增加或更换，由此增加的费用和（或）延误的工期由承包人承担。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218" w:name="_Toc160553068"/>
      <w:r>
        <w:rPr>
          <w:rFonts w:hint="eastAsia" w:ascii="宋体" w:hAnsi="宋体" w:eastAsia="宋体" w:cs="宋体"/>
          <w:b w:val="0"/>
          <w:color w:val="auto"/>
          <w:sz w:val="21"/>
          <w:szCs w:val="21"/>
        </w:rPr>
        <w:t>8</w:t>
      </w:r>
      <w:bookmarkStart w:id="219" w:name="_Toc337558781"/>
      <w:bookmarkStart w:id="220" w:name="_Toc296503063"/>
      <w:bookmarkStart w:id="221" w:name="_Toc296346564"/>
      <w:r>
        <w:rPr>
          <w:rFonts w:hint="eastAsia" w:ascii="宋体" w:hAnsi="宋体" w:eastAsia="宋体" w:cs="宋体"/>
          <w:b w:val="0"/>
          <w:color w:val="auto"/>
          <w:sz w:val="21"/>
          <w:szCs w:val="21"/>
        </w:rPr>
        <w:t>.9材料与设备专用要求</w:t>
      </w:r>
      <w:bookmarkEnd w:id="218"/>
    </w:p>
    <w:bookmarkEnd w:id="219"/>
    <w:bookmarkEnd w:id="220"/>
    <w:bookmarkEnd w:id="221"/>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承包人运入施工现场的材料、工程设备、施工设备以及在施工场地建设的临时设施，包括备品备件、安装工具与资料，必须专用于工程。未经发包人批准，承包人不得运出施工现场或挪作他用；</w:t>
      </w:r>
      <w:bookmarkEnd w:id="200"/>
      <w:r>
        <w:rPr>
          <w:rFonts w:hint="eastAsia" w:ascii="宋体" w:hAnsi="宋体" w:eastAsia="宋体" w:cs="宋体"/>
          <w:color w:val="auto"/>
          <w:kern w:val="0"/>
          <w:sz w:val="21"/>
          <w:szCs w:val="21"/>
        </w:rPr>
        <w:t>经发包人批准，承包人可以根据施工进度计划撤走闲置的施工设备和其他物品。</w:t>
      </w:r>
    </w:p>
    <w:p>
      <w:pPr>
        <w:pStyle w:val="5"/>
        <w:spacing w:before="120" w:after="120" w:line="360" w:lineRule="auto"/>
        <w:rPr>
          <w:rFonts w:hint="eastAsia" w:ascii="宋体" w:hAnsi="宋体" w:eastAsia="宋体" w:cs="宋体"/>
          <w:b w:val="0"/>
          <w:color w:val="auto"/>
          <w:sz w:val="21"/>
          <w:szCs w:val="21"/>
        </w:rPr>
      </w:pPr>
      <w:bookmarkStart w:id="222" w:name="_Toc160553069"/>
      <w:r>
        <w:rPr>
          <w:rFonts w:hint="eastAsia" w:ascii="宋体" w:hAnsi="宋体" w:eastAsia="宋体" w:cs="宋体"/>
          <w:b w:val="0"/>
          <w:color w:val="auto"/>
          <w:sz w:val="21"/>
          <w:szCs w:val="21"/>
        </w:rPr>
        <w:t>9</w:t>
      </w:r>
      <w:bookmarkStart w:id="223" w:name="_Toc337558782"/>
      <w:bookmarkStart w:id="224" w:name="_Toc296503083"/>
      <w:bookmarkStart w:id="225" w:name="_Toc296346584"/>
      <w:r>
        <w:rPr>
          <w:rFonts w:hint="eastAsia" w:ascii="宋体" w:hAnsi="宋体" w:eastAsia="宋体" w:cs="宋体"/>
          <w:b w:val="0"/>
          <w:color w:val="auto"/>
          <w:sz w:val="21"/>
          <w:szCs w:val="21"/>
        </w:rPr>
        <w:t>. 试验与检验</w:t>
      </w:r>
      <w:bookmarkEnd w:id="222"/>
    </w:p>
    <w:bookmarkEnd w:id="223"/>
    <w:p>
      <w:pPr>
        <w:pStyle w:val="6"/>
        <w:spacing w:before="120" w:after="120" w:line="360" w:lineRule="auto"/>
        <w:ind w:firstLine="420" w:firstLineChars="200"/>
        <w:rPr>
          <w:rFonts w:hint="eastAsia" w:ascii="宋体" w:hAnsi="宋体" w:eastAsia="宋体" w:cs="宋体"/>
          <w:b w:val="0"/>
          <w:color w:val="auto"/>
          <w:sz w:val="21"/>
          <w:szCs w:val="21"/>
        </w:rPr>
      </w:pPr>
      <w:bookmarkStart w:id="226" w:name="_Toc160553070"/>
      <w:r>
        <w:rPr>
          <w:rFonts w:hint="eastAsia" w:ascii="宋体" w:hAnsi="宋体" w:eastAsia="宋体" w:cs="宋体"/>
          <w:b w:val="0"/>
          <w:color w:val="auto"/>
          <w:sz w:val="21"/>
          <w:szCs w:val="21"/>
        </w:rPr>
        <w:t>9</w:t>
      </w:r>
      <w:bookmarkStart w:id="227" w:name="_Toc337558783"/>
      <w:r>
        <w:rPr>
          <w:rFonts w:hint="eastAsia" w:ascii="宋体" w:hAnsi="宋体" w:eastAsia="宋体" w:cs="宋体"/>
          <w:b w:val="0"/>
          <w:color w:val="auto"/>
          <w:sz w:val="21"/>
          <w:szCs w:val="21"/>
        </w:rPr>
        <w:t>.1试验设备与试验人员</w:t>
      </w:r>
      <w:bookmarkEnd w:id="226"/>
    </w:p>
    <w:bookmarkEnd w:id="227"/>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9.1.2 承包人应按专用合同条款的约定提供试验设备、取样装置、试验场所和试验条件，并向监理人提交相应进场计划表。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承包人配置的试验设备要符合相应试验规程的要求并经过具有资质的检测单位检测，且在正式使用该试验设备前，需要经过监理人与承包人共同校定。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9.1.3 承包人应向监理人提交试验人员的名单及其岗位、资格等证明资料，试验人员必须能够熟练进行相应的检测试验，承包人对试验人员的试验程序和试验结果的正确性负责。</w:t>
      </w:r>
    </w:p>
    <w:p>
      <w:pPr>
        <w:pStyle w:val="6"/>
        <w:spacing w:before="120" w:after="120" w:line="360" w:lineRule="auto"/>
        <w:ind w:firstLine="420" w:firstLineChars="200"/>
        <w:rPr>
          <w:rFonts w:hint="eastAsia" w:ascii="宋体" w:hAnsi="宋体" w:eastAsia="宋体" w:cs="宋体"/>
          <w:b w:val="0"/>
          <w:color w:val="auto"/>
          <w:sz w:val="21"/>
          <w:szCs w:val="21"/>
        </w:rPr>
      </w:pPr>
      <w:bookmarkStart w:id="228" w:name="_Toc160553071"/>
      <w:r>
        <w:rPr>
          <w:rFonts w:hint="eastAsia" w:ascii="宋体" w:hAnsi="宋体" w:eastAsia="宋体" w:cs="宋体"/>
          <w:b w:val="0"/>
          <w:color w:val="auto"/>
          <w:sz w:val="21"/>
          <w:szCs w:val="21"/>
        </w:rPr>
        <w:t>9</w:t>
      </w:r>
      <w:bookmarkStart w:id="229" w:name="_Toc337558784"/>
      <w:r>
        <w:rPr>
          <w:rFonts w:hint="eastAsia" w:ascii="宋体" w:hAnsi="宋体" w:eastAsia="宋体" w:cs="宋体"/>
          <w:b w:val="0"/>
          <w:color w:val="auto"/>
          <w:sz w:val="21"/>
          <w:szCs w:val="21"/>
        </w:rPr>
        <w:t>.2取样</w:t>
      </w:r>
      <w:bookmarkEnd w:id="228"/>
    </w:p>
    <w:bookmarkEnd w:id="229"/>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试验属于自检性质的，承包人可以单独取样。试验属于监理人抽检性质的，可由监理人取样，也可由承包人的试验人员在监理人的监督下取样。</w:t>
      </w:r>
    </w:p>
    <w:p>
      <w:pPr>
        <w:pStyle w:val="6"/>
        <w:spacing w:before="120" w:after="120" w:line="360" w:lineRule="auto"/>
        <w:ind w:firstLine="420" w:firstLineChars="200"/>
        <w:rPr>
          <w:rFonts w:hint="eastAsia" w:ascii="宋体" w:hAnsi="宋体" w:eastAsia="宋体" w:cs="宋体"/>
          <w:b w:val="0"/>
          <w:color w:val="auto"/>
          <w:sz w:val="21"/>
          <w:szCs w:val="21"/>
        </w:rPr>
      </w:pPr>
      <w:bookmarkStart w:id="230" w:name="_Toc160553072"/>
      <w:r>
        <w:rPr>
          <w:rFonts w:hint="eastAsia" w:ascii="宋体" w:hAnsi="宋体" w:eastAsia="宋体" w:cs="宋体"/>
          <w:b w:val="0"/>
          <w:color w:val="auto"/>
          <w:sz w:val="21"/>
          <w:szCs w:val="21"/>
        </w:rPr>
        <w:t>9</w:t>
      </w:r>
      <w:bookmarkStart w:id="231" w:name="_Toc337558785"/>
      <w:r>
        <w:rPr>
          <w:rFonts w:hint="eastAsia" w:ascii="宋体" w:hAnsi="宋体" w:eastAsia="宋体" w:cs="宋体"/>
          <w:b w:val="0"/>
          <w:color w:val="auto"/>
          <w:sz w:val="21"/>
          <w:szCs w:val="21"/>
        </w:rPr>
        <w:t>.3材料、工程设备和工程的试验和检验</w:t>
      </w:r>
      <w:bookmarkEnd w:id="230"/>
    </w:p>
    <w:bookmarkEnd w:id="231"/>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232" w:name="_Toc160553073"/>
      <w:r>
        <w:rPr>
          <w:rFonts w:hint="eastAsia" w:ascii="宋体" w:hAnsi="宋体" w:eastAsia="宋体" w:cs="宋体"/>
          <w:b w:val="0"/>
          <w:color w:val="auto"/>
          <w:sz w:val="21"/>
          <w:szCs w:val="21"/>
        </w:rPr>
        <w:t>9</w:t>
      </w:r>
      <w:bookmarkStart w:id="233" w:name="_Toc337558786"/>
      <w:r>
        <w:rPr>
          <w:rFonts w:hint="eastAsia" w:ascii="宋体" w:hAnsi="宋体" w:eastAsia="宋体" w:cs="宋体"/>
          <w:b w:val="0"/>
          <w:color w:val="auto"/>
          <w:sz w:val="21"/>
          <w:szCs w:val="21"/>
        </w:rPr>
        <w:t>.4现场工艺试验</w:t>
      </w:r>
      <w:bookmarkEnd w:id="232"/>
    </w:p>
    <w:bookmarkEnd w:id="233"/>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承包人应按合同约定或监理人指示进行现场工艺试验。对大型的现场工艺试验，监理人认为必要时，承包人应根据监理人提出的工艺试验要求，编制工艺试验措施计划，报送监理人审查。</w:t>
      </w:r>
    </w:p>
    <w:p>
      <w:pPr>
        <w:pStyle w:val="5"/>
        <w:spacing w:before="120" w:after="120" w:line="360" w:lineRule="auto"/>
        <w:rPr>
          <w:rFonts w:hint="eastAsia" w:ascii="宋体" w:hAnsi="宋体" w:eastAsia="宋体" w:cs="宋体"/>
          <w:b w:val="0"/>
          <w:color w:val="auto"/>
          <w:sz w:val="21"/>
          <w:szCs w:val="21"/>
        </w:rPr>
      </w:pPr>
      <w:bookmarkStart w:id="234" w:name="_Toc160553074"/>
      <w:r>
        <w:rPr>
          <w:rFonts w:hint="eastAsia" w:ascii="宋体" w:hAnsi="宋体" w:eastAsia="宋体" w:cs="宋体"/>
          <w:b w:val="0"/>
          <w:color w:val="auto"/>
          <w:sz w:val="21"/>
          <w:szCs w:val="21"/>
        </w:rPr>
        <w:t>1</w:t>
      </w:r>
      <w:bookmarkStart w:id="235" w:name="_Toc337558787"/>
      <w:r>
        <w:rPr>
          <w:rFonts w:hint="eastAsia" w:ascii="宋体" w:hAnsi="宋体" w:eastAsia="宋体" w:cs="宋体"/>
          <w:b w:val="0"/>
          <w:color w:val="auto"/>
          <w:sz w:val="21"/>
          <w:szCs w:val="21"/>
        </w:rPr>
        <w:t>0. 变更</w:t>
      </w:r>
      <w:bookmarkEnd w:id="224"/>
      <w:bookmarkEnd w:id="225"/>
      <w:bookmarkEnd w:id="234"/>
    </w:p>
    <w:bookmarkEnd w:id="235"/>
    <w:p>
      <w:pPr>
        <w:pStyle w:val="6"/>
        <w:spacing w:before="120" w:after="120" w:line="360" w:lineRule="auto"/>
        <w:ind w:firstLine="420" w:firstLineChars="200"/>
        <w:rPr>
          <w:rFonts w:hint="eastAsia" w:ascii="宋体" w:hAnsi="宋体" w:eastAsia="宋体" w:cs="宋体"/>
          <w:b w:val="0"/>
          <w:color w:val="auto"/>
          <w:sz w:val="21"/>
          <w:szCs w:val="21"/>
        </w:rPr>
      </w:pPr>
      <w:bookmarkStart w:id="236" w:name="_Toc160553075"/>
      <w:r>
        <w:rPr>
          <w:rFonts w:hint="eastAsia" w:ascii="宋体" w:hAnsi="宋体" w:eastAsia="宋体" w:cs="宋体"/>
          <w:b w:val="0"/>
          <w:color w:val="auto"/>
          <w:sz w:val="21"/>
          <w:szCs w:val="21"/>
        </w:rPr>
        <w:t>1</w:t>
      </w:r>
      <w:bookmarkStart w:id="237" w:name="_Toc337558788"/>
      <w:bookmarkStart w:id="238" w:name="_Toc296503084"/>
      <w:bookmarkStart w:id="239" w:name="_Toc296346585"/>
      <w:r>
        <w:rPr>
          <w:rFonts w:hint="eastAsia" w:ascii="宋体" w:hAnsi="宋体" w:eastAsia="宋体" w:cs="宋体"/>
          <w:b w:val="0"/>
          <w:color w:val="auto"/>
          <w:sz w:val="21"/>
          <w:szCs w:val="21"/>
        </w:rPr>
        <w:t>0.1变更的范围</w:t>
      </w:r>
      <w:bookmarkEnd w:id="236"/>
    </w:p>
    <w:bookmarkEnd w:id="237"/>
    <w:bookmarkEnd w:id="238"/>
    <w:bookmarkEnd w:id="239"/>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除专用合同条款另有约定外，合同履行过程中发生以下情形的，应按照本条约定进行变更：</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（1）增加或减少合同中任何工作，或追加额外的工作；</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（2）取消合同中任何工作，但转由他人实施的工作除外；</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（3）改变合同中任何工作的质量标准或其他特性；</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（4）改变工程的基线、标高、位置和尺寸；</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（5）改变工程的时间安排或实施顺序。</w:t>
      </w:r>
    </w:p>
    <w:p>
      <w:pPr>
        <w:pStyle w:val="6"/>
        <w:spacing w:before="120" w:after="120" w:line="360" w:lineRule="auto"/>
        <w:ind w:firstLine="420" w:firstLineChars="200"/>
        <w:rPr>
          <w:rFonts w:hint="eastAsia" w:ascii="宋体" w:hAnsi="宋体" w:eastAsia="宋体" w:cs="宋体"/>
          <w:b w:val="0"/>
          <w:color w:val="auto"/>
          <w:sz w:val="21"/>
          <w:szCs w:val="21"/>
        </w:rPr>
      </w:pPr>
      <w:bookmarkStart w:id="240" w:name="_Toc160553076"/>
      <w:r>
        <w:rPr>
          <w:rFonts w:hint="eastAsia" w:ascii="宋体" w:hAnsi="宋体" w:eastAsia="宋体" w:cs="宋体"/>
          <w:b w:val="0"/>
          <w:color w:val="auto"/>
          <w:sz w:val="21"/>
          <w:szCs w:val="21"/>
        </w:rPr>
        <w:t>1</w:t>
      </w:r>
      <w:bookmarkStart w:id="241" w:name="_Toc337558789"/>
      <w:bookmarkStart w:id="242" w:name="_Toc296346586"/>
      <w:bookmarkStart w:id="243" w:name="_Toc296503085"/>
      <w:r>
        <w:rPr>
          <w:rFonts w:hint="eastAsia" w:ascii="宋体" w:hAnsi="宋体" w:eastAsia="宋体" w:cs="宋体"/>
          <w:b w:val="0"/>
          <w:color w:val="auto"/>
          <w:sz w:val="21"/>
          <w:szCs w:val="21"/>
        </w:rPr>
        <w:t>0.2变更权</w:t>
      </w:r>
      <w:bookmarkEnd w:id="240"/>
    </w:p>
    <w:bookmarkEnd w:id="241"/>
    <w:bookmarkEnd w:id="242"/>
    <w:bookmarkEnd w:id="243"/>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涉及设计变更的，应由设计人提供变更后的图纸和说明。如变更超过原设计标准或批准的建设规模时，发包人应及时办理规划、设计变更等审批手续。</w:t>
      </w:r>
    </w:p>
    <w:p>
      <w:pPr>
        <w:pStyle w:val="6"/>
        <w:spacing w:before="120" w:after="120" w:line="360" w:lineRule="auto"/>
        <w:ind w:firstLine="420" w:firstLineChars="200"/>
        <w:rPr>
          <w:rFonts w:hint="eastAsia" w:ascii="宋体" w:hAnsi="宋体" w:eastAsia="宋体" w:cs="宋体"/>
          <w:b w:val="0"/>
          <w:color w:val="auto"/>
          <w:sz w:val="21"/>
          <w:szCs w:val="21"/>
        </w:rPr>
      </w:pPr>
      <w:bookmarkStart w:id="244" w:name="_Toc160553077"/>
      <w:r>
        <w:rPr>
          <w:rFonts w:hint="eastAsia" w:ascii="宋体" w:hAnsi="宋体" w:eastAsia="宋体" w:cs="宋体"/>
          <w:b w:val="0"/>
          <w:color w:val="auto"/>
          <w:sz w:val="21"/>
          <w:szCs w:val="21"/>
        </w:rPr>
        <w:t>1</w:t>
      </w:r>
      <w:bookmarkStart w:id="245" w:name="_Toc296346587"/>
      <w:bookmarkStart w:id="246" w:name="_Toc337558790"/>
      <w:bookmarkStart w:id="247" w:name="_Toc296503086"/>
      <w:r>
        <w:rPr>
          <w:rFonts w:hint="eastAsia" w:ascii="宋体" w:hAnsi="宋体" w:eastAsia="宋体" w:cs="宋体"/>
          <w:b w:val="0"/>
          <w:color w:val="auto"/>
          <w:sz w:val="21"/>
          <w:szCs w:val="21"/>
        </w:rPr>
        <w:t>0.3变更程序</w:t>
      </w:r>
      <w:bookmarkEnd w:id="244"/>
    </w:p>
    <w:bookmarkEnd w:id="245"/>
    <w:bookmarkEnd w:id="246"/>
    <w:bookmarkEnd w:id="247"/>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10</w:t>
      </w:r>
      <w:r>
        <w:rPr>
          <w:rFonts w:hint="eastAsia" w:ascii="宋体" w:hAnsi="宋体" w:eastAsia="宋体" w:cs="宋体"/>
          <w:color w:val="auto"/>
          <w:kern w:val="0"/>
          <w:sz w:val="21"/>
          <w:szCs w:val="21"/>
        </w:rPr>
        <w:t>.3.1 发包人提出变更</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发包人提出变更的，应通过监理人向承包人发出变更指示，变更指示应说明计划变更的工程范围和变更的内容。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10</w:t>
      </w:r>
      <w:r>
        <w:rPr>
          <w:rFonts w:hint="eastAsia" w:ascii="宋体" w:hAnsi="宋体" w:eastAsia="宋体" w:cs="宋体"/>
          <w:color w:val="auto"/>
          <w:kern w:val="0"/>
          <w:sz w:val="21"/>
          <w:szCs w:val="21"/>
        </w:rPr>
        <w:t>.3.2 监理人提出变更建议</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10.3.3 变更执行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6"/>
        <w:spacing w:before="120" w:after="120" w:line="360" w:lineRule="auto"/>
        <w:ind w:firstLine="420" w:firstLineChars="200"/>
        <w:rPr>
          <w:rFonts w:hint="eastAsia" w:ascii="宋体" w:hAnsi="宋体" w:eastAsia="宋体" w:cs="宋体"/>
          <w:b w:val="0"/>
          <w:color w:val="auto"/>
          <w:sz w:val="21"/>
          <w:szCs w:val="21"/>
        </w:rPr>
      </w:pPr>
      <w:bookmarkStart w:id="248" w:name="_Toc160553078"/>
      <w:r>
        <w:rPr>
          <w:rFonts w:hint="eastAsia" w:ascii="宋体" w:hAnsi="宋体" w:eastAsia="宋体" w:cs="宋体"/>
          <w:b w:val="0"/>
          <w:color w:val="auto"/>
          <w:sz w:val="21"/>
          <w:szCs w:val="21"/>
        </w:rPr>
        <w:t>1</w:t>
      </w:r>
      <w:bookmarkStart w:id="249" w:name="_Toc296503087"/>
      <w:bookmarkStart w:id="250" w:name="_Toc337558791"/>
      <w:bookmarkStart w:id="251" w:name="_Toc296346588"/>
      <w:r>
        <w:rPr>
          <w:rFonts w:hint="eastAsia" w:ascii="宋体" w:hAnsi="宋体" w:eastAsia="宋体" w:cs="宋体"/>
          <w:b w:val="0"/>
          <w:color w:val="auto"/>
          <w:sz w:val="21"/>
          <w:szCs w:val="21"/>
        </w:rPr>
        <w:t>0.4变更估价</w:t>
      </w:r>
      <w:bookmarkEnd w:id="248"/>
    </w:p>
    <w:bookmarkEnd w:id="249"/>
    <w:bookmarkEnd w:id="250"/>
    <w:bookmarkEnd w:id="251"/>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10.4.1 变更估价原则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除专用合同条款另有约定外，变更估价按照本款约定处理：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（1）已标价工程量清单或预算书有相同项目的，按照相同项目单价认定；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（2）已标价工程量清单或预算书中无相同项目，但有类似项目的，参照类似项目的单价认定；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10.4.2 变更估价程序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因变更引起的价格调整应计入最近一期的进度款中支付。</w:t>
      </w:r>
    </w:p>
    <w:p>
      <w:pPr>
        <w:pStyle w:val="6"/>
        <w:spacing w:before="120" w:after="120" w:line="360" w:lineRule="auto"/>
        <w:ind w:firstLine="420" w:firstLineChars="200"/>
        <w:rPr>
          <w:rFonts w:hint="eastAsia" w:ascii="宋体" w:hAnsi="宋体" w:eastAsia="宋体" w:cs="宋体"/>
          <w:b w:val="0"/>
          <w:color w:val="auto"/>
          <w:sz w:val="21"/>
          <w:szCs w:val="21"/>
        </w:rPr>
      </w:pPr>
      <w:bookmarkStart w:id="252" w:name="_Toc160553079"/>
      <w:r>
        <w:rPr>
          <w:rFonts w:hint="eastAsia" w:ascii="宋体" w:hAnsi="宋体" w:eastAsia="宋体" w:cs="宋体"/>
          <w:b w:val="0"/>
          <w:color w:val="auto"/>
          <w:sz w:val="21"/>
          <w:szCs w:val="21"/>
        </w:rPr>
        <w:t>1</w:t>
      </w:r>
      <w:bookmarkStart w:id="253" w:name="_Toc296503094"/>
      <w:bookmarkStart w:id="254" w:name="_Toc337558792"/>
      <w:bookmarkStart w:id="255" w:name="_Toc296346595"/>
      <w:r>
        <w:rPr>
          <w:rFonts w:hint="eastAsia" w:ascii="宋体" w:hAnsi="宋体" w:eastAsia="宋体" w:cs="宋体"/>
          <w:b w:val="0"/>
          <w:color w:val="auto"/>
          <w:sz w:val="21"/>
          <w:szCs w:val="21"/>
        </w:rPr>
        <w:t>0.5承包人的合理化建议</w:t>
      </w:r>
      <w:bookmarkEnd w:id="252"/>
    </w:p>
    <w:bookmarkEnd w:id="253"/>
    <w:bookmarkEnd w:id="254"/>
    <w:bookmarkEnd w:id="255"/>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承包人提出合理化建议的，应向监理人提交合理化建议说明，说明建议的内容和理由，以及实施该建议对合同价格和工期的影响。</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合理化建议降低了合同价格或者提高了工程经济效益的，发包人可对承包人给予奖励，奖励的方法和金额在专用合同条款中约定。</w:t>
      </w:r>
    </w:p>
    <w:p>
      <w:pPr>
        <w:pStyle w:val="6"/>
        <w:spacing w:before="120" w:after="120" w:line="360" w:lineRule="auto"/>
        <w:ind w:firstLine="420" w:firstLineChars="200"/>
        <w:rPr>
          <w:rFonts w:hint="eastAsia" w:ascii="宋体" w:hAnsi="宋体" w:eastAsia="宋体" w:cs="宋体"/>
          <w:color w:val="auto"/>
          <w:sz w:val="21"/>
          <w:szCs w:val="21"/>
        </w:rPr>
      </w:pPr>
      <w:bookmarkStart w:id="256" w:name="_Toc160553080"/>
      <w:r>
        <w:rPr>
          <w:rFonts w:hint="eastAsia" w:ascii="宋体" w:hAnsi="宋体" w:eastAsia="宋体" w:cs="宋体"/>
          <w:b w:val="0"/>
          <w:color w:val="auto"/>
          <w:sz w:val="21"/>
          <w:szCs w:val="21"/>
        </w:rPr>
        <w:t>1</w:t>
      </w:r>
      <w:bookmarkStart w:id="257" w:name="_Toc337558793"/>
      <w:r>
        <w:rPr>
          <w:rFonts w:hint="eastAsia" w:ascii="宋体" w:hAnsi="宋体" w:eastAsia="宋体" w:cs="宋体"/>
          <w:b w:val="0"/>
          <w:color w:val="auto"/>
          <w:sz w:val="21"/>
          <w:szCs w:val="21"/>
        </w:rPr>
        <w:t>0.6变更引起的工期调整</w:t>
      </w:r>
      <w:bookmarkEnd w:id="256"/>
      <w:r>
        <w:rPr>
          <w:rFonts w:hint="eastAsia" w:ascii="宋体" w:hAnsi="宋体" w:eastAsia="宋体" w:cs="宋体"/>
          <w:b w:val="0"/>
          <w:color w:val="auto"/>
          <w:sz w:val="21"/>
          <w:szCs w:val="21"/>
        </w:rPr>
        <w:t xml:space="preserve"> </w:t>
      </w:r>
      <w:bookmarkEnd w:id="257"/>
      <w:r>
        <w:rPr>
          <w:rFonts w:hint="eastAsia" w:ascii="宋体" w:hAnsi="宋体" w:eastAsia="宋体" w:cs="宋体"/>
          <w:b w:val="0"/>
          <w:color w:val="auto"/>
          <w:sz w:val="21"/>
          <w:szCs w:val="21"/>
        </w:rPr>
        <w:t xml:space="preserve"> </w:t>
      </w:r>
      <w:r>
        <w:rPr>
          <w:rFonts w:hint="eastAsia" w:ascii="宋体" w:hAnsi="宋体" w:eastAsia="宋体" w:cs="宋体"/>
          <w:color w:val="auto"/>
          <w:sz w:val="21"/>
          <w:szCs w:val="21"/>
        </w:rPr>
        <w:t xml:space="preserve">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因变更引起工期变化的，合同当事人均可要求调整合同工期，由合同当事人按照第4.4款〔商定或确定〕并参考工程所在地的工期定额标准确定增减工期天数。</w:t>
      </w:r>
    </w:p>
    <w:p>
      <w:pPr>
        <w:pStyle w:val="6"/>
        <w:spacing w:before="120" w:after="120" w:line="360" w:lineRule="auto"/>
        <w:ind w:firstLine="420" w:firstLineChars="200"/>
        <w:rPr>
          <w:rFonts w:hint="eastAsia" w:ascii="宋体" w:hAnsi="宋体" w:eastAsia="宋体" w:cs="宋体"/>
          <w:b w:val="0"/>
          <w:color w:val="auto"/>
          <w:sz w:val="21"/>
          <w:szCs w:val="21"/>
        </w:rPr>
      </w:pPr>
      <w:bookmarkStart w:id="258" w:name="_Toc160553081"/>
      <w:r>
        <w:rPr>
          <w:rFonts w:hint="eastAsia" w:ascii="宋体" w:hAnsi="宋体" w:eastAsia="宋体" w:cs="宋体"/>
          <w:b w:val="0"/>
          <w:color w:val="auto"/>
          <w:sz w:val="21"/>
          <w:szCs w:val="21"/>
        </w:rPr>
        <w:t>10.7暂估价</w:t>
      </w:r>
      <w:bookmarkEnd w:id="258"/>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暂估价专业分包工程、服务、材料和工程设备的明细由合同当事人在专用合同条款中约定。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10.7.1</w:t>
      </w:r>
      <w:r>
        <w:rPr>
          <w:rFonts w:hint="eastAsia" w:ascii="宋体" w:hAnsi="宋体" w:eastAsia="宋体" w:cs="宋体"/>
          <w:color w:val="auto"/>
          <w:kern w:val="0"/>
          <w:sz w:val="21"/>
          <w:szCs w:val="21"/>
        </w:rPr>
        <w:t xml:space="preserve"> 依法必须招标的暂估价项目</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对于依法必须招标的暂估价项目，采取以下第1种方式确定。合同当事人也可以在专用合同条款中选择其他招标方式。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第1种方式：对于依法必须招标的暂估价项目，由承包人招标，对该暂估价项目的确认和批准按照以下约定执行：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pPr>
        <w:spacing w:line="360" w:lineRule="auto"/>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10.7.2</w:t>
      </w:r>
      <w:r>
        <w:rPr>
          <w:rFonts w:hint="eastAsia" w:ascii="宋体" w:hAnsi="宋体" w:eastAsia="宋体" w:cs="宋体"/>
          <w:color w:val="auto"/>
          <w:kern w:val="0"/>
          <w:sz w:val="21"/>
          <w:szCs w:val="21"/>
        </w:rPr>
        <w:t>不属于依法必须招标的暂估价项目</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除专用合同条款另有约定外，对于不属于依法必须招标的暂估价项目，采取以下第1种方式确定： </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第1种方式：对于不属于依法必须招标的暂估价项目，按本项约定确认和批准：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（2）发包人认为承包人确定的供应商、分包人无法满足工程质量或合同要求的，发包人可以要求承包人重新确定暂估价项目的供应商、分包人;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（3）承包人应当在签订暂估价合同后7天内，将暂估价合同副本报送发包人留存。</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第2种方式：承包人按照第10.7.1项〔依法必须招标的暂估价项目〕约定的第1种方式确定暂估价项目。</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承包人具备实施暂估价项目的资格和条件的，经发包人和承包人协商一致后，可由承包人自行实施暂估价项目，合同当事人可以在专用合同条款约定具体事项。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259" w:name="_Toc160553082"/>
      <w:r>
        <w:rPr>
          <w:rFonts w:hint="eastAsia" w:ascii="宋体" w:hAnsi="宋体" w:eastAsia="宋体" w:cs="宋体"/>
          <w:b w:val="0"/>
          <w:color w:val="auto"/>
          <w:sz w:val="21"/>
          <w:szCs w:val="21"/>
        </w:rPr>
        <w:t>1</w:t>
      </w:r>
      <w:bookmarkStart w:id="260" w:name="_Toc337558794"/>
      <w:bookmarkStart w:id="261" w:name="_Toc296503090"/>
      <w:bookmarkStart w:id="262" w:name="_Toc322522561"/>
      <w:bookmarkStart w:id="263" w:name="_Toc296346591"/>
      <w:r>
        <w:rPr>
          <w:rFonts w:hint="eastAsia" w:ascii="宋体" w:hAnsi="宋体" w:eastAsia="宋体" w:cs="宋体"/>
          <w:b w:val="0"/>
          <w:color w:val="auto"/>
          <w:sz w:val="21"/>
          <w:szCs w:val="21"/>
        </w:rPr>
        <w:t>0.8暂列金额</w:t>
      </w:r>
      <w:bookmarkEnd w:id="259"/>
    </w:p>
    <w:bookmarkEnd w:id="26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暂列金额应按照发包人的要求使用，发包人的要求应通过监理人发出。合同当事人可以在专用合同条款中协商确定有关事项。</w:t>
      </w:r>
    </w:p>
    <w:bookmarkEnd w:id="261"/>
    <w:bookmarkEnd w:id="262"/>
    <w:bookmarkEnd w:id="263"/>
    <w:p>
      <w:pPr>
        <w:pStyle w:val="6"/>
        <w:spacing w:before="120" w:after="120" w:line="360" w:lineRule="auto"/>
        <w:ind w:firstLine="420" w:firstLineChars="200"/>
        <w:rPr>
          <w:rFonts w:hint="eastAsia" w:ascii="宋体" w:hAnsi="宋体" w:eastAsia="宋体" w:cs="宋体"/>
          <w:b w:val="0"/>
          <w:color w:val="auto"/>
          <w:sz w:val="21"/>
          <w:szCs w:val="21"/>
        </w:rPr>
      </w:pPr>
      <w:bookmarkStart w:id="264" w:name="_Toc160553083"/>
      <w:r>
        <w:rPr>
          <w:rFonts w:hint="eastAsia" w:ascii="宋体" w:hAnsi="宋体" w:eastAsia="宋体" w:cs="宋体"/>
          <w:b w:val="0"/>
          <w:color w:val="auto"/>
          <w:sz w:val="21"/>
          <w:szCs w:val="21"/>
        </w:rPr>
        <w:t>1</w:t>
      </w:r>
      <w:bookmarkStart w:id="265" w:name="_Toc296503091"/>
      <w:bookmarkStart w:id="266" w:name="_Toc337558796"/>
      <w:bookmarkStart w:id="267" w:name="_Toc296346592"/>
      <w:r>
        <w:rPr>
          <w:rFonts w:hint="eastAsia" w:ascii="宋体" w:hAnsi="宋体" w:eastAsia="宋体" w:cs="宋体"/>
          <w:b w:val="0"/>
          <w:color w:val="auto"/>
          <w:sz w:val="21"/>
          <w:szCs w:val="21"/>
        </w:rPr>
        <w:t>0.9计日工</w:t>
      </w:r>
      <w:bookmarkEnd w:id="264"/>
      <w:r>
        <w:rPr>
          <w:rFonts w:hint="eastAsia" w:ascii="宋体" w:hAnsi="宋体" w:eastAsia="宋体" w:cs="宋体"/>
          <w:b w:val="0"/>
          <w:color w:val="auto"/>
          <w:sz w:val="21"/>
          <w:szCs w:val="21"/>
        </w:rPr>
        <w:t xml:space="preserve"> </w:t>
      </w:r>
      <w:bookmarkEnd w:id="265"/>
      <w:bookmarkEnd w:id="266"/>
      <w:bookmarkEnd w:id="267"/>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采用计日工计价的任何一项工作，承包人应在该项工作实施过程中，每天提交以下报表和有关凭证报送监理人审查：</w:t>
      </w:r>
    </w:p>
    <w:p>
      <w:pPr>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（1）工作名称、内容和数量；</w:t>
      </w:r>
    </w:p>
    <w:p>
      <w:pPr>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（2）投入该工作的所有人员的姓名、专业、工种、级别和耗用工时；</w:t>
      </w:r>
    </w:p>
    <w:p>
      <w:pPr>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（3）投入该工作的材料类别和数量；</w:t>
      </w:r>
    </w:p>
    <w:p>
      <w:pPr>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（4）投入该工作的施工设备型号、台数和耗用台时；</w:t>
      </w:r>
    </w:p>
    <w:p>
      <w:pPr>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（5）其他有关资料和凭证。</w:t>
      </w:r>
    </w:p>
    <w:p>
      <w:pPr>
        <w:spacing w:line="360" w:lineRule="auto"/>
        <w:ind w:firstLine="315" w:firstLineChars="15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计日工由承包人汇总后，列入最近一期进度付款申请单，由监理人审查并经发包人批准后列入进度付款。</w:t>
      </w:r>
    </w:p>
    <w:p>
      <w:pPr>
        <w:pStyle w:val="5"/>
        <w:spacing w:before="120" w:after="120" w:line="360" w:lineRule="auto"/>
        <w:rPr>
          <w:rFonts w:hint="eastAsia" w:ascii="宋体" w:hAnsi="宋体" w:eastAsia="宋体" w:cs="宋体"/>
          <w:b w:val="0"/>
          <w:color w:val="auto"/>
          <w:sz w:val="21"/>
          <w:szCs w:val="21"/>
        </w:rPr>
      </w:pPr>
      <w:bookmarkStart w:id="268" w:name="_Toc160553084"/>
      <w:r>
        <w:rPr>
          <w:rFonts w:hint="eastAsia" w:ascii="宋体" w:hAnsi="宋体" w:eastAsia="宋体" w:cs="宋体"/>
          <w:b w:val="0"/>
          <w:color w:val="auto"/>
          <w:sz w:val="21"/>
          <w:szCs w:val="21"/>
        </w:rPr>
        <w:t>11. 价格调整</w:t>
      </w:r>
      <w:bookmarkEnd w:id="268"/>
    </w:p>
    <w:p>
      <w:pPr>
        <w:pStyle w:val="6"/>
        <w:spacing w:before="120" w:after="120" w:line="360" w:lineRule="auto"/>
        <w:ind w:firstLine="420" w:firstLineChars="200"/>
        <w:rPr>
          <w:rFonts w:hint="eastAsia" w:ascii="宋体" w:hAnsi="宋体" w:eastAsia="宋体" w:cs="宋体"/>
          <w:b w:val="0"/>
          <w:color w:val="auto"/>
          <w:sz w:val="21"/>
          <w:szCs w:val="21"/>
        </w:rPr>
      </w:pPr>
      <w:bookmarkStart w:id="269" w:name="_Toc160553085"/>
      <w:bookmarkStart w:id="270" w:name="_Toc296503092"/>
      <w:bookmarkStart w:id="271" w:name="_Toc296346593"/>
      <w:bookmarkStart w:id="272" w:name="_Toc337558797"/>
      <w:r>
        <w:rPr>
          <w:rFonts w:hint="eastAsia" w:ascii="宋体" w:hAnsi="宋体" w:eastAsia="宋体" w:cs="宋体"/>
          <w:b w:val="0"/>
          <w:color w:val="auto"/>
          <w:sz w:val="21"/>
          <w:szCs w:val="21"/>
        </w:rPr>
        <w:t>11.1市场价格波动引起的调整</w:t>
      </w:r>
      <w:bookmarkEnd w:id="269"/>
    </w:p>
    <w:bookmarkEnd w:id="270"/>
    <w:bookmarkEnd w:id="271"/>
    <w:bookmarkEnd w:id="272"/>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除专用合同条款另有约定外，市场价格波动超过合同当事人约定的范围，合同价格应当调整。合同当事人可以在专用合同条款中约定选择以下一种方式对合同价格进行调整：</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（1）价格调整公式</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因人工、材料和设备等价格波动影响合同价格时，根据专用合同条款中约定的数据，按以下公式计算差额并调整合同价格：</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position w:val="-30"/>
          <w:sz w:val="21"/>
          <w:szCs w:val="21"/>
        </w:rPr>
        <w:object>
          <v:shape id="_x0000_i1025" o:spt="75" type="#_x0000_t75" style="height:43.9pt;width:359.85pt;" o:ole="t" filled="f" stroked="f" coordsize="21600,21600">
            <v:path/>
            <v:fill on="f" focussize="0,0"/>
            <v:stroke on="f"/>
            <v:imagedata r:id="rId9" o:title=""/>
            <o:lock v:ext="edit" grouping="f" rotation="f" text="f" aspectratio="t"/>
            <w10:wrap type="none"/>
            <w10:anchorlock/>
          </v:shape>
          <o:OLEObject Type="Embed" ProgID="Equation.KSEE3" ShapeID="_x0000_i1025" DrawAspect="Content" ObjectID="_1468075725" r:id="rId8">
            <o:LockedField>false</o:LockedField>
          </o:OLEObject>
        </w:object>
      </w:r>
    </w:p>
    <w:p>
      <w:pPr>
        <w:tabs>
          <w:tab w:val="left" w:pos="0"/>
          <w:tab w:val="left" w:pos="360"/>
          <w:tab w:val="left" w:pos="540"/>
        </w:tabs>
        <w:spacing w:line="360" w:lineRule="auto"/>
        <w:ind w:firstLine="640"/>
        <w:rPr>
          <w:rFonts w:hint="eastAsia" w:ascii="宋体" w:hAnsi="宋体" w:eastAsia="宋体" w:cs="宋体"/>
          <w:color w:val="auto"/>
          <w:sz w:val="21"/>
          <w:szCs w:val="21"/>
        </w:rPr>
      </w:pPr>
      <w:r>
        <w:rPr>
          <w:rFonts w:hint="eastAsia" w:ascii="宋体" w:hAnsi="宋体" w:eastAsia="宋体" w:cs="宋体"/>
          <w:color w:val="auto"/>
          <w:sz w:val="21"/>
          <w:szCs w:val="21"/>
        </w:rPr>
        <w:t>公式中：ΔP——需调整的价格差额；</w:t>
      </w:r>
    </w:p>
    <w:p>
      <w:pPr>
        <w:tabs>
          <w:tab w:val="left" w:pos="0"/>
          <w:tab w:val="left" w:pos="360"/>
          <w:tab w:val="left" w:pos="540"/>
        </w:tabs>
        <w:spacing w:line="360" w:lineRule="auto"/>
        <w:ind w:firstLine="1260" w:firstLineChars="600"/>
        <w:rPr>
          <w:rFonts w:hint="eastAsia" w:ascii="宋体" w:hAnsi="宋体" w:eastAsia="宋体" w:cs="宋体"/>
          <w:color w:val="auto"/>
          <w:sz w:val="21"/>
          <w:szCs w:val="21"/>
        </w:rPr>
      </w:pPr>
      <w:r>
        <w:rPr>
          <w:rFonts w:hint="eastAsia" w:ascii="宋体" w:hAnsi="宋体" w:eastAsia="宋体" w:cs="宋体"/>
          <w:color w:val="auto"/>
          <w:position w:val="-6"/>
          <w:sz w:val="21"/>
          <w:szCs w:val="21"/>
        </w:rPr>
        <w:object>
          <v:shape id="_x0000_i1026" o:spt="75" type="#_x0000_t75" style="height:17.95pt;width:17.95pt;" o:ole="t" filled="f" stroked="f" coordsize="21600,21600">
            <v:path/>
            <v:fill on="f" focussize="0,0"/>
            <v:stroke on="f"/>
            <v:imagedata r:id="rId11" o:title=""/>
            <o:lock v:ext="edit" grouping="f" rotation="f" text="f" aspectratio="t"/>
            <w10:wrap type="none"/>
            <w10:anchorlock/>
          </v:shape>
          <o:OLEObject Type="Embed" ProgID="Equation.KSEE3" ShapeID="_x0000_i1026" DrawAspect="Content" ObjectID="_1468075726" r:id="rId10">
            <o:LockedField>false</o:LockedField>
          </o:OLEObject>
        </w:object>
      </w:r>
      <w:r>
        <w:rPr>
          <w:rFonts w:hint="eastAsia" w:ascii="宋体" w:hAnsi="宋体" w:eastAsia="宋体" w:cs="宋体"/>
          <w:color w:val="auto"/>
          <w:sz w:val="21"/>
          <w:szCs w:val="21"/>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A——定值权重（即不调部分的权重）；</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position w:val="-10"/>
          <w:sz w:val="21"/>
          <w:szCs w:val="21"/>
        </w:rPr>
        <w:object>
          <v:shape id="_x0000_i1027" o:spt="75" type="#_x0000_t75" style="height:21.05pt;width:101pt;" o:ole="t" filled="f" stroked="f" coordsize="21600,21600">
            <v:path/>
            <v:fill on="f" focussize="0,0"/>
            <v:stroke on="f"/>
            <v:imagedata r:id="rId13" o:title=""/>
            <o:lock v:ext="edit" grouping="f" rotation="f" text="f" aspectratio="t"/>
            <w10:wrap type="none"/>
            <w10:anchorlock/>
          </v:shape>
          <o:OLEObject Type="Embed" ProgID="Equation.KSEE3" ShapeID="_x0000_i1027" DrawAspect="Content" ObjectID="_1468075727" r:id="rId12">
            <o:LockedField>false</o:LockedField>
          </o:OLEObject>
        </w:object>
      </w:r>
      <w:r>
        <w:rPr>
          <w:rFonts w:hint="eastAsia" w:ascii="宋体" w:hAnsi="宋体" w:eastAsia="宋体" w:cs="宋体"/>
          <w:color w:val="auto"/>
          <w:sz w:val="21"/>
          <w:szCs w:val="21"/>
        </w:rPr>
        <w:t>——各可调因子的变值权重（即可调部分的权重），为各可调因子在签约合同价中所占的比例；</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position w:val="-10"/>
          <w:sz w:val="21"/>
          <w:szCs w:val="21"/>
        </w:rPr>
        <w:object>
          <v:shape id="_x0000_i1028" o:spt="75" type="#_x0000_t75" style="height:20.6pt;width:102.05pt;" o:ole="t" filled="f" stroked="f" coordsize="21600,21600">
            <v:path/>
            <v:fill on="f" focussize="0,0"/>
            <v:stroke on="f"/>
            <v:imagedata r:id="rId15" o:title=""/>
            <o:lock v:ext="edit" grouping="f" rotation="f" text="f" aspectratio="t"/>
            <w10:wrap type="none"/>
            <w10:anchorlock/>
          </v:shape>
          <o:OLEObject Type="Embed" ProgID="Equation.KSEE3" ShapeID="_x0000_i1028" DrawAspect="Content" ObjectID="_1468075728" r:id="rId14">
            <o:LockedField>false</o:LockedField>
          </o:OLEObject>
        </w:object>
      </w:r>
      <w:r>
        <w:rPr>
          <w:rFonts w:hint="eastAsia" w:ascii="宋体" w:hAnsi="宋体" w:eastAsia="宋体" w:cs="宋体"/>
          <w:color w:val="auto"/>
          <w:sz w:val="21"/>
          <w:szCs w:val="21"/>
        </w:rPr>
        <w:t>——各可调因子的现行价格指数，指约定的付款证书相关周期最后一天的前42天的各可调因子的价格指数；</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position w:val="-10"/>
          <w:sz w:val="21"/>
          <w:szCs w:val="21"/>
        </w:rPr>
        <w:object>
          <v:shape id="_x0000_i1029" o:spt="75" type="#_x0000_t75" style="height:20.2pt;width:108pt;" o:ole="t" filled="f" stroked="f" coordsize="21600,21600">
            <v:path/>
            <v:fill on="f" focussize="0,0"/>
            <v:stroke on="f"/>
            <v:imagedata r:id="rId17" o:title=""/>
            <o:lock v:ext="edit" grouping="f" rotation="f" text="f" aspectratio="t"/>
            <w10:wrap type="none"/>
            <w10:anchorlock/>
          </v:shape>
          <o:OLEObject Type="Embed" ProgID="Equation.KSEE3" ShapeID="_x0000_i1029" DrawAspect="Content" ObjectID="_1468075729" r:id="rId16">
            <o:LockedField>false</o:LockedField>
          </o:OLEObject>
        </w:object>
      </w:r>
      <w:r>
        <w:rPr>
          <w:rFonts w:hint="eastAsia" w:ascii="宋体" w:hAnsi="宋体" w:eastAsia="宋体" w:cs="宋体"/>
          <w:color w:val="auto"/>
          <w:sz w:val="21"/>
          <w:szCs w:val="21"/>
        </w:rPr>
        <w:t>——各可调因子的基本价格指数，指基准日期的各可调因子的价格指数。</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（2）暂时确定调整差额</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在计算调整差额时无现行价格指数的，合同当事人同意暂用前次价格指数计算。实际价格指数有调整的，合同当事人进行相应调整。</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（3）权重的调整</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因变更导致合同约定的权重不合理时，按照第4.4款〔商定或确定〕执行。</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（4）因承包人原因工期延误后的价格调整</w:t>
      </w:r>
    </w:p>
    <w:p>
      <w:pPr>
        <w:tabs>
          <w:tab w:val="left" w:pos="0"/>
          <w:tab w:val="left" w:pos="360"/>
          <w:tab w:val="left" w:pos="540"/>
        </w:tabs>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因承包人原因未按期竣工的，对合同约定的竣工日期后继续施工的工程，在使用价格调整公式时，应采用计划竣工日期与实际竣工日期的两个价格指数中较低的一个作为现行价格指数。</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第2种方式：采用造价信息进行价格调整。</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（2）材料、工程设备价格变化的价款调整按照发包人提供的基准价格，按以下风险范围规定执行:</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③承包人在已标价工程量清单或预算书中载明材料单价等于基准价格的：除专用合同条款另有约定外，合同履行期间材料单价涨跌幅以基准价格为基础超过±5%时，其超过部分据实调整。</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pacing w:line="360" w:lineRule="auto"/>
        <w:ind w:firstLine="420" w:firstLineChars="200"/>
        <w:rPr>
          <w:rFonts w:hint="eastAsia" w:ascii="宋体" w:hAnsi="宋体" w:eastAsia="宋体" w:cs="宋体"/>
          <w:color w:val="auto"/>
          <w:sz w:val="21"/>
          <w:szCs w:val="21"/>
        </w:rPr>
      </w:pPr>
      <w:bookmarkStart w:id="273" w:name="OLE_LINK3"/>
      <w:r>
        <w:rPr>
          <w:rFonts w:hint="eastAsia" w:ascii="宋体" w:hAnsi="宋体" w:eastAsia="宋体" w:cs="宋体"/>
          <w:color w:val="auto"/>
          <w:sz w:val="21"/>
          <w:szCs w:val="21"/>
        </w:rPr>
        <w:t>前述基准价格是指由发包人在招标文件或专用合同条款中给定的材料、工程设备的价格，该价格原则上应当按照省级或行业建设主管部门或其授权的工程造价管理机构发布的信息价编制。</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（3）施工机械台班单价或施工机械使用费发生变化超过省级或行业建设主管部门或其授权的工程造价管理机构规定的范围时，按规定调整合同价格。</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第3种方式：专用合同条款约定的其他方式。</w:t>
      </w:r>
    </w:p>
    <w:p>
      <w:pPr>
        <w:pStyle w:val="6"/>
        <w:spacing w:before="120" w:after="120" w:line="360" w:lineRule="auto"/>
        <w:ind w:firstLine="420" w:firstLineChars="200"/>
        <w:rPr>
          <w:rFonts w:hint="eastAsia" w:ascii="宋体" w:hAnsi="宋体" w:eastAsia="宋体" w:cs="宋体"/>
          <w:b w:val="0"/>
          <w:color w:val="auto"/>
          <w:sz w:val="21"/>
          <w:szCs w:val="21"/>
        </w:rPr>
      </w:pPr>
      <w:bookmarkStart w:id="274" w:name="_Toc160553086"/>
      <w:bookmarkStart w:id="275" w:name="_Toc296346594"/>
      <w:bookmarkStart w:id="276" w:name="_Toc337558798"/>
      <w:bookmarkStart w:id="277" w:name="_Toc296503093"/>
      <w:r>
        <w:rPr>
          <w:rFonts w:hint="eastAsia" w:ascii="宋体" w:hAnsi="宋体" w:eastAsia="宋体" w:cs="宋体"/>
          <w:b w:val="0"/>
          <w:color w:val="auto"/>
          <w:sz w:val="21"/>
          <w:szCs w:val="21"/>
        </w:rPr>
        <w:t>11.2法律变化引起的调整</w:t>
      </w:r>
      <w:bookmarkEnd w:id="274"/>
    </w:p>
    <w:bookmarkEnd w:id="275"/>
    <w:bookmarkEnd w:id="276"/>
    <w:bookmarkEnd w:id="277"/>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因法律变化引起的合同价格和工期调整，合同当事人无法达成一致的，由总监理工程师按第4.4款〔商定或确定〕的约定处理。</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因承包人原因造成工期延误，在工期延误期间出现法律变化的，由此增加的费用和（或）延误的工期由承包人承担。</w:t>
      </w:r>
    </w:p>
    <w:p>
      <w:pPr>
        <w:pStyle w:val="5"/>
        <w:spacing w:before="120" w:after="120" w:line="360" w:lineRule="auto"/>
        <w:rPr>
          <w:rFonts w:hint="eastAsia" w:ascii="宋体" w:hAnsi="宋体" w:eastAsia="宋体" w:cs="宋体"/>
          <w:b w:val="0"/>
          <w:color w:val="auto"/>
          <w:sz w:val="21"/>
          <w:szCs w:val="21"/>
        </w:rPr>
      </w:pPr>
      <w:bookmarkStart w:id="278" w:name="_Toc160553087"/>
      <w:bookmarkStart w:id="279" w:name="_Toc337558799"/>
      <w:bookmarkStart w:id="280" w:name="_Toc296503096"/>
      <w:bookmarkStart w:id="281" w:name="_Toc296346597"/>
      <w:r>
        <w:rPr>
          <w:rFonts w:hint="eastAsia" w:ascii="宋体" w:hAnsi="宋体" w:eastAsia="宋体" w:cs="宋体"/>
          <w:b w:val="0"/>
          <w:color w:val="auto"/>
          <w:sz w:val="21"/>
          <w:szCs w:val="21"/>
        </w:rPr>
        <w:t>12. 合同价格、计量与支付</w:t>
      </w:r>
      <w:bookmarkEnd w:id="278"/>
    </w:p>
    <w:bookmarkEnd w:id="279"/>
    <w:p>
      <w:pPr>
        <w:pStyle w:val="6"/>
        <w:spacing w:before="120" w:after="120" w:line="360" w:lineRule="auto"/>
        <w:ind w:firstLine="420" w:firstLineChars="200"/>
        <w:rPr>
          <w:rFonts w:hint="eastAsia" w:ascii="宋体" w:hAnsi="宋体" w:eastAsia="宋体" w:cs="宋体"/>
          <w:b w:val="0"/>
          <w:color w:val="auto"/>
          <w:sz w:val="21"/>
          <w:szCs w:val="21"/>
        </w:rPr>
      </w:pPr>
      <w:bookmarkStart w:id="282" w:name="_Toc160553088"/>
      <w:bookmarkStart w:id="283" w:name="_Toc337558800"/>
      <w:r>
        <w:rPr>
          <w:rFonts w:hint="eastAsia" w:ascii="宋体" w:hAnsi="宋体" w:eastAsia="宋体" w:cs="宋体"/>
          <w:b w:val="0"/>
          <w:color w:val="auto"/>
          <w:sz w:val="21"/>
          <w:szCs w:val="21"/>
        </w:rPr>
        <w:t>12.1 合同价</w:t>
      </w:r>
      <w:bookmarkEnd w:id="280"/>
      <w:bookmarkEnd w:id="281"/>
      <w:r>
        <w:rPr>
          <w:rFonts w:hint="eastAsia" w:ascii="宋体" w:hAnsi="宋体" w:eastAsia="宋体" w:cs="宋体"/>
          <w:b w:val="0"/>
          <w:color w:val="auto"/>
          <w:sz w:val="21"/>
          <w:szCs w:val="21"/>
        </w:rPr>
        <w:t>格形式</w:t>
      </w:r>
      <w:bookmarkEnd w:id="282"/>
    </w:p>
    <w:bookmarkEnd w:id="283"/>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发包人和承包人应在合同协议书中选择下列一种合同价格形式：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1.单价合同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单价合同是指合同当事人约定以工程量清单及其综合单价进行合同价格计算、调整和确认的建设工程施工合同，</w:t>
      </w:r>
      <w:r>
        <w:rPr>
          <w:rFonts w:hint="eastAsia" w:ascii="宋体" w:hAnsi="宋体" w:eastAsia="宋体" w:cs="宋体"/>
          <w:color w:val="auto"/>
          <w:sz w:val="21"/>
          <w:szCs w:val="21"/>
        </w:rPr>
        <w:t>在约定的范围内合同单价不作调整</w:t>
      </w:r>
      <w:r>
        <w:rPr>
          <w:rFonts w:hint="eastAsia" w:ascii="宋体" w:hAnsi="宋体" w:eastAsia="宋体" w:cs="宋体"/>
          <w:color w:val="auto"/>
          <w:kern w:val="0"/>
          <w:sz w:val="21"/>
          <w:szCs w:val="21"/>
        </w:rPr>
        <w:t>。合同当事人应在专用合同条款中约定综合单价包含的风险范围和风险费用的计算方法</w:t>
      </w:r>
      <w:r>
        <w:rPr>
          <w:rFonts w:hint="eastAsia" w:ascii="宋体" w:hAnsi="宋体" w:eastAsia="宋体" w:cs="宋体"/>
          <w:color w:val="auto"/>
          <w:sz w:val="21"/>
          <w:szCs w:val="21"/>
        </w:rPr>
        <w:t>，</w:t>
      </w:r>
      <w:r>
        <w:rPr>
          <w:rFonts w:hint="eastAsia" w:ascii="宋体" w:hAnsi="宋体" w:eastAsia="宋体" w:cs="宋体"/>
          <w:color w:val="auto"/>
          <w:kern w:val="0"/>
          <w:sz w:val="21"/>
          <w:szCs w:val="21"/>
        </w:rPr>
        <w:t>并约定风险范围以外的合同价格的调整方法，其中因市场价格波动引起的调整按第11.1款〔市场价格波动引起的调整〕约定执行。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2.总价合同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总价合同是指合同当事人约定以施工图、已标价工程量清单或预算书及有关条件进行合同价格计算、调整和确认的建设工程施工合同，</w:t>
      </w:r>
      <w:r>
        <w:rPr>
          <w:rFonts w:hint="eastAsia" w:ascii="宋体" w:hAnsi="宋体" w:eastAsia="宋体" w:cs="宋体"/>
          <w:color w:val="auto"/>
          <w:sz w:val="21"/>
          <w:szCs w:val="21"/>
        </w:rPr>
        <w:t>在约定的范围内合同总价不作调整</w:t>
      </w:r>
      <w:r>
        <w:rPr>
          <w:rFonts w:hint="eastAsia" w:ascii="宋体" w:hAnsi="宋体" w:eastAsia="宋体" w:cs="宋体"/>
          <w:color w:val="auto"/>
          <w:kern w:val="0"/>
          <w:sz w:val="21"/>
          <w:szCs w:val="21"/>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3.其它价格形式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合同当事人可在专用合同条款中约定其他合同价格形式。</w:t>
      </w:r>
    </w:p>
    <w:p>
      <w:pPr>
        <w:pStyle w:val="6"/>
        <w:spacing w:before="120" w:after="120" w:line="360" w:lineRule="auto"/>
        <w:ind w:firstLine="420" w:firstLineChars="200"/>
        <w:rPr>
          <w:rFonts w:hint="eastAsia" w:ascii="宋体" w:hAnsi="宋体" w:eastAsia="宋体" w:cs="宋体"/>
          <w:b w:val="0"/>
          <w:color w:val="auto"/>
          <w:sz w:val="21"/>
          <w:szCs w:val="21"/>
        </w:rPr>
      </w:pPr>
      <w:bookmarkStart w:id="284" w:name="_Toc296503097"/>
      <w:bookmarkStart w:id="285" w:name="_Toc296346598"/>
      <w:bookmarkStart w:id="286" w:name="_Toc160553089"/>
      <w:bookmarkStart w:id="287" w:name="_Toc337558801"/>
      <w:r>
        <w:rPr>
          <w:rFonts w:hint="eastAsia" w:ascii="宋体" w:hAnsi="宋体" w:eastAsia="宋体" w:cs="宋体"/>
          <w:b w:val="0"/>
          <w:color w:val="auto"/>
          <w:sz w:val="21"/>
          <w:szCs w:val="21"/>
        </w:rPr>
        <w:t>12.2预</w:t>
      </w:r>
      <w:bookmarkEnd w:id="284"/>
      <w:bookmarkEnd w:id="285"/>
      <w:bookmarkStart w:id="288" w:name="_Toc296503100"/>
      <w:bookmarkStart w:id="289" w:name="_Toc296346601"/>
      <w:r>
        <w:rPr>
          <w:rFonts w:hint="eastAsia" w:ascii="宋体" w:hAnsi="宋体" w:eastAsia="宋体" w:cs="宋体"/>
          <w:b w:val="0"/>
          <w:color w:val="auto"/>
          <w:sz w:val="21"/>
          <w:szCs w:val="21"/>
        </w:rPr>
        <w:t>付款</w:t>
      </w:r>
      <w:bookmarkEnd w:id="286"/>
    </w:p>
    <w:bookmarkEnd w:id="287"/>
    <w:bookmarkEnd w:id="288"/>
    <w:bookmarkEnd w:id="289"/>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12.2.</w:t>
      </w:r>
      <w:r>
        <w:rPr>
          <w:rFonts w:hint="eastAsia" w:ascii="宋体" w:hAnsi="宋体" w:eastAsia="宋体" w:cs="宋体"/>
          <w:color w:val="auto"/>
          <w:kern w:val="0"/>
          <w:sz w:val="21"/>
          <w:szCs w:val="21"/>
        </w:rPr>
        <w:t>1预付款的支付</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预付款的支付按照专用合同条款约定执行，但至迟应在开工通知载明的开工日期7天前支付。预付款应当用于材料、工程设备、施工设备的采购及修建临时工程、组织施工队伍进场等。</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除专用合同条款另有约定外，预付款在进度付款中同比例扣回。</w:t>
      </w:r>
      <w:bookmarkEnd w:id="273"/>
      <w:r>
        <w:rPr>
          <w:rFonts w:hint="eastAsia" w:ascii="宋体" w:hAnsi="宋体" w:eastAsia="宋体" w:cs="宋体"/>
          <w:color w:val="auto"/>
          <w:kern w:val="0"/>
          <w:sz w:val="21"/>
          <w:szCs w:val="21"/>
        </w:rPr>
        <w:t>在颁发工程接收证书前，提前解除合同的，尚未扣完的预付款应与合同价款一并结算。</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发包人逾期支付预付款超过7天的，承包人有权向发包人发出要求预付的催告通知，发包人收到通知后7天内仍未支付的，承包人有权暂停施工，并按第16.1.1项〔发包人违约的情形〕执行。</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12.2.2 预付款担保</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发包人在工程款中逐期扣回预付款后，预付款担保额度应相应减少，但剩余的预付款担保金额不得低于未被扣回的预付款金额。</w:t>
      </w:r>
    </w:p>
    <w:p>
      <w:pPr>
        <w:pStyle w:val="6"/>
        <w:spacing w:before="120" w:after="120" w:line="360" w:lineRule="auto"/>
        <w:ind w:firstLine="420" w:firstLineChars="200"/>
        <w:rPr>
          <w:rFonts w:hint="eastAsia" w:ascii="宋体" w:hAnsi="宋体" w:eastAsia="宋体" w:cs="宋体"/>
          <w:b w:val="0"/>
          <w:color w:val="auto"/>
          <w:sz w:val="21"/>
          <w:szCs w:val="21"/>
        </w:rPr>
      </w:pPr>
      <w:bookmarkStart w:id="290" w:name="_Toc160553090"/>
      <w:bookmarkStart w:id="291" w:name="_Toc337558802"/>
      <w:r>
        <w:rPr>
          <w:rFonts w:hint="eastAsia" w:ascii="宋体" w:hAnsi="宋体" w:eastAsia="宋体" w:cs="宋体"/>
          <w:b w:val="0"/>
          <w:color w:val="auto"/>
          <w:sz w:val="21"/>
          <w:szCs w:val="21"/>
        </w:rPr>
        <w:t>12.3计量</w:t>
      </w:r>
      <w:bookmarkEnd w:id="290"/>
    </w:p>
    <w:bookmarkEnd w:id="291"/>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12.3.1 计量原则</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工程量计量按照合同约定的工程量计算规则、图纸及变更指示等进行计量。工程量计算规则应以相关的国家标准、行业标准等为依据，由合同当事人在专用合同条款中约定。</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12.3.2 计量周期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除专用合同条款另有约定外，工程量的计量按月进行。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12.3.3 单价合同的计量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除专用合同条款另有约定外，单价合同的计量按照本项约定执行：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（1）承包人应于每月25日向监理人报送上月20日至当月19日已完成的工程量报告，并附具进度付款申请单、已完成工程量报表和有关资料。</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（3）监理人未在收到承包人提交的工程量报表后的7天内完成审核的，承包人报送的工程量报告中的工程量视为承包人实际完成的工程量，据此计算工程价款。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12.3.4 总价合同的计量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除专用合同条款另有约定外，按月计量支付的总价合同，按照本项约定执行：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（1）承包人应于每月25日向监理人报送上月20日至当月19日已完成的工程量报告，并附具进度付款申请单、已完成工程量报表和有关资料。</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（3）监理人未在收到承包人提交的工程量报表后的7天内完成复核的，承包人提交的工程量报告中的工程量视为承包人实际完成的工程量。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12.3.5 总价合同采用支付分解表计量支付的，可以按照第12.3.4项〔总价合同的计量〕约定进行计量，但合同价款按照支付分解表进行支付。</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12.3.6 其他价格形式合同的计量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合同当事人可在专用合同条款中约定其他价格形式合同的计量方式和程序。</w:t>
      </w:r>
    </w:p>
    <w:p>
      <w:pPr>
        <w:pStyle w:val="6"/>
        <w:spacing w:before="120" w:after="120" w:line="360" w:lineRule="auto"/>
        <w:ind w:firstLine="420" w:firstLineChars="200"/>
        <w:rPr>
          <w:rFonts w:hint="eastAsia" w:ascii="宋体" w:hAnsi="宋体" w:eastAsia="宋体" w:cs="宋体"/>
          <w:b w:val="0"/>
          <w:color w:val="auto"/>
          <w:sz w:val="21"/>
          <w:szCs w:val="21"/>
        </w:rPr>
      </w:pPr>
      <w:bookmarkStart w:id="292" w:name="_Toc296503101"/>
      <w:bookmarkStart w:id="293" w:name="_Toc296346602"/>
      <w:bookmarkStart w:id="294" w:name="_Toc160553091"/>
      <w:bookmarkStart w:id="295" w:name="_Toc337558803"/>
      <w:r>
        <w:rPr>
          <w:rFonts w:hint="eastAsia" w:ascii="宋体" w:hAnsi="宋体" w:eastAsia="宋体" w:cs="宋体"/>
          <w:b w:val="0"/>
          <w:color w:val="auto"/>
          <w:sz w:val="21"/>
          <w:szCs w:val="21"/>
        </w:rPr>
        <w:t>12.4工程进度款支</w:t>
      </w:r>
      <w:bookmarkEnd w:id="292"/>
      <w:bookmarkEnd w:id="293"/>
      <w:r>
        <w:rPr>
          <w:rFonts w:hint="eastAsia" w:ascii="宋体" w:hAnsi="宋体" w:eastAsia="宋体" w:cs="宋体"/>
          <w:b w:val="0"/>
          <w:color w:val="auto"/>
          <w:sz w:val="21"/>
          <w:szCs w:val="21"/>
        </w:rPr>
        <w:t>付</w:t>
      </w:r>
      <w:bookmarkEnd w:id="294"/>
    </w:p>
    <w:bookmarkEnd w:id="295"/>
    <w:p>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bookmarkStart w:id="296" w:name="_Toc160553092"/>
      <w:r>
        <w:rPr>
          <w:rFonts w:hint="eastAsia" w:ascii="宋体" w:hAnsi="宋体" w:eastAsia="宋体" w:cs="宋体"/>
          <w:color w:val="auto"/>
          <w:sz w:val="21"/>
          <w:szCs w:val="21"/>
        </w:rPr>
        <w:t>12.4</w:t>
      </w:r>
      <w:r>
        <w:rPr>
          <w:rFonts w:hint="eastAsia" w:ascii="宋体" w:hAnsi="宋体" w:eastAsia="宋体" w:cs="宋体"/>
          <w:color w:val="auto"/>
          <w:kern w:val="0"/>
          <w:sz w:val="21"/>
          <w:szCs w:val="21"/>
        </w:rPr>
        <w:t>.1 付款周期</w:t>
      </w:r>
      <w:bookmarkEnd w:id="296"/>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除专用合同条款另有约定外，付款周期应按照第12.3.2项〔计量周期〕的约定与计量周期保持一致。</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12.4</w:t>
      </w:r>
      <w:r>
        <w:rPr>
          <w:rFonts w:hint="eastAsia" w:ascii="宋体" w:hAnsi="宋体" w:eastAsia="宋体" w:cs="宋体"/>
          <w:color w:val="auto"/>
          <w:kern w:val="0"/>
          <w:sz w:val="21"/>
          <w:szCs w:val="21"/>
        </w:rPr>
        <w:t>.2 进度付款申请单的编制</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除专用合同条款另有约定外，进度付款申请单应包括下列内容：</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（1）截至本次付款周期已完成工作对应的金额；</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（2）根据第10条〔变更〕应增加和扣减的变更金额；</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（3）根据第12.2款〔预付款〕约定应支付的预付款和扣减的返还预付款；</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（4）根据第15.3款〔质量保证金〕约定应扣减的质量保证金；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（5）根据第19条〔索赔〕应增加和扣减的索赔金额；</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（6）对已签发的进度款支付证书中出现错误的修正，应在本次进度付款中支付或扣除的金额；</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（7）根据合同约定应增加和扣减的其他金额。</w:t>
      </w:r>
    </w:p>
    <w:p>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bookmarkStart w:id="297" w:name="_Toc160553093"/>
      <w:r>
        <w:rPr>
          <w:rFonts w:hint="eastAsia" w:ascii="宋体" w:hAnsi="宋体" w:eastAsia="宋体" w:cs="宋体"/>
          <w:color w:val="auto"/>
          <w:kern w:val="0"/>
          <w:sz w:val="21"/>
          <w:szCs w:val="21"/>
        </w:rPr>
        <w:t>12.4.3 进度付款申请单的提交</w:t>
      </w:r>
      <w:bookmarkEnd w:id="297"/>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（1）单价合同进度付款申请单的提交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（2）总价合同进度付款申请单的提交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总价合同按月计量支付的，承包人按照第12.3.4项〔总价合同的计量〕约定的时间按月向监理人提交进度付款申请单，并附上已完成工程量报表和有关资料。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总价合同按支付分解表支付的，承包人应按照第12.4.6项〔支付分解表〕及第12.4.2项〔进度付款申请单的编制〕的约定向监理人提交进度付款申请单。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（3）其他价格形式合同的进度付款申请单的提交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合同当事人可在专用合同条款中约定其他价格形式合同的进度付款申请单的编制和提交程序。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12.4</w:t>
      </w:r>
      <w:r>
        <w:rPr>
          <w:rFonts w:hint="eastAsia" w:ascii="宋体" w:hAnsi="宋体" w:eastAsia="宋体" w:cs="宋体"/>
          <w:color w:val="auto"/>
          <w:kern w:val="0"/>
          <w:sz w:val="21"/>
          <w:szCs w:val="21"/>
        </w:rPr>
        <w:t>.4 进度款审核和支付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（2）除专用合同条款另有约定外，发包人应在进度款支付证书或临时进度款支付证书签发后14天内完成支付，发包人逾期支付进度款的，应按照中国人民银行发布的同期同类贷款基准利率支付违约金。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（3）发包人签发进度款支付证书或临时进度款支付证书，不表明发包人已同意、批准或接受了承包人完成的相应部分的工作。</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12.4.5 进度付款的修正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在对已签发的进度款支付证书进行阶段汇总和复核中发现错误、遗漏或重复的，发包人和承包人均有权提出修正申请。经发包人和承包人同意的修正，应在下期进度付款中支付或扣除。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12.4.6 支付分解表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1.支付分解表的编制要求</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（1）支付分解表中所列的每期付款金额，应为第12.4.2项〔进度付款申请单的编制〕第（1）目的估算金额；</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（2）实际进度与施工进度计划不一致的，合同当事人可按照第4.4款〔商定或确定〕修改支付分解表；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（3）不采用支付分解表的，承包人应向发包人和监理人提交按季度编制的支付估算分解表，用于支付参考。</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2.总价合同支付分解表的编制与审批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（2）监理人应在收到支付分解表后7天内完成审核并报送发包人。发包人应在收到经监理人审核的支付分解表后7天内完成审批，经发包人批准的支付分解表为有约束力的支付分解表。</w:t>
      </w:r>
    </w:p>
    <w:p>
      <w:pPr>
        <w:spacing w:line="360" w:lineRule="auto"/>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（3）发包人逾期未完成支付分解表审批的，也未及时要求承包人进行修正和提供补充资料的，则承包人提交的支付分解表视为已经获得发包人批准。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3.单价合同的总价项目支付分解表的编制与审批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6"/>
        <w:spacing w:before="120" w:after="120" w:line="360" w:lineRule="auto"/>
        <w:ind w:firstLine="420" w:firstLineChars="200"/>
        <w:rPr>
          <w:rFonts w:hint="eastAsia" w:ascii="宋体" w:hAnsi="宋体" w:eastAsia="宋体" w:cs="宋体"/>
          <w:b w:val="0"/>
          <w:color w:val="auto"/>
          <w:sz w:val="21"/>
          <w:szCs w:val="21"/>
        </w:rPr>
      </w:pPr>
      <w:bookmarkStart w:id="298" w:name="_Toc160553094"/>
      <w:r>
        <w:rPr>
          <w:rFonts w:hint="eastAsia" w:ascii="宋体" w:hAnsi="宋体" w:eastAsia="宋体" w:cs="宋体"/>
          <w:b w:val="0"/>
          <w:color w:val="auto"/>
          <w:sz w:val="21"/>
          <w:szCs w:val="21"/>
        </w:rPr>
        <w:t>12.5支付账户</w:t>
      </w:r>
      <w:bookmarkEnd w:id="298"/>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发包人应将合同价款支付至合同协议书中约定的承包人账户。</w:t>
      </w:r>
    </w:p>
    <w:p>
      <w:pPr>
        <w:pStyle w:val="5"/>
        <w:spacing w:before="120" w:after="120" w:line="360" w:lineRule="auto"/>
        <w:rPr>
          <w:rFonts w:hint="eastAsia" w:ascii="宋体" w:hAnsi="宋体" w:eastAsia="宋体" w:cs="宋体"/>
          <w:b w:val="0"/>
          <w:color w:val="auto"/>
          <w:sz w:val="21"/>
          <w:szCs w:val="21"/>
        </w:rPr>
      </w:pPr>
      <w:bookmarkStart w:id="299" w:name="_Toc160553095"/>
      <w:bookmarkStart w:id="300" w:name="_Toc296503106"/>
      <w:bookmarkStart w:id="301" w:name="_Toc296346607"/>
      <w:bookmarkStart w:id="302" w:name="_Toc322522574"/>
      <w:bookmarkStart w:id="303" w:name="_Toc337558804"/>
      <w:r>
        <w:rPr>
          <w:rFonts w:hint="eastAsia" w:ascii="宋体" w:hAnsi="宋体" w:eastAsia="宋体" w:cs="宋体"/>
          <w:b w:val="0"/>
          <w:color w:val="auto"/>
          <w:sz w:val="21"/>
          <w:szCs w:val="21"/>
        </w:rPr>
        <w:t>13. 验收和工程试车</w:t>
      </w:r>
      <w:bookmarkEnd w:id="299"/>
    </w:p>
    <w:bookmarkEnd w:id="300"/>
    <w:bookmarkEnd w:id="301"/>
    <w:bookmarkEnd w:id="302"/>
    <w:bookmarkEnd w:id="303"/>
    <w:p>
      <w:pPr>
        <w:pStyle w:val="6"/>
        <w:spacing w:before="120" w:after="120" w:line="360" w:lineRule="auto"/>
        <w:ind w:firstLine="420" w:firstLineChars="200"/>
        <w:rPr>
          <w:rFonts w:hint="eastAsia" w:ascii="宋体" w:hAnsi="宋体" w:eastAsia="宋体" w:cs="宋体"/>
          <w:b w:val="0"/>
          <w:color w:val="auto"/>
          <w:sz w:val="21"/>
          <w:szCs w:val="21"/>
        </w:rPr>
      </w:pPr>
      <w:bookmarkStart w:id="304" w:name="_Toc160553096"/>
      <w:bookmarkStart w:id="305" w:name="_Toc337558805"/>
      <w:bookmarkStart w:id="306" w:name="_Toc296346611"/>
      <w:bookmarkStart w:id="307" w:name="_Toc296503110"/>
      <w:r>
        <w:rPr>
          <w:rFonts w:hint="eastAsia" w:ascii="宋体" w:hAnsi="宋体" w:eastAsia="宋体" w:cs="宋体"/>
          <w:b w:val="0"/>
          <w:color w:val="auto"/>
          <w:sz w:val="21"/>
          <w:szCs w:val="21"/>
        </w:rPr>
        <w:t>13.1分部分项工程验收</w:t>
      </w:r>
      <w:bookmarkEnd w:id="304"/>
    </w:p>
    <w:bookmarkEnd w:id="305"/>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13.1.1 分部分项工程质量应符合国家有关工程施工验收规范、标准及合同约定，承包人应按照施工组织设计的要求完成分部分项工程施工。</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13.1.2 除专用合同条款另有约定外，分部分项工程经承包人自检合格并具备验收条件的，承包人应提前48小时通知监理人进行验收。</w:t>
      </w:r>
      <w:r>
        <w:rPr>
          <w:rFonts w:hint="eastAsia" w:ascii="宋体" w:hAnsi="宋体" w:eastAsia="宋体" w:cs="宋体"/>
          <w:color w:val="auto"/>
          <w:kern w:val="0"/>
          <w:sz w:val="21"/>
          <w:szCs w:val="21"/>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auto"/>
          <w:sz w:val="21"/>
          <w:szCs w:val="21"/>
        </w:rPr>
        <w:t>分部分项工程未经验收的，不得进入下一道工序施工。</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分部分项工程的验收资料应当作为竣工资料的组成部分。</w:t>
      </w:r>
    </w:p>
    <w:p>
      <w:pPr>
        <w:pStyle w:val="6"/>
        <w:spacing w:before="120" w:after="120" w:line="360" w:lineRule="auto"/>
        <w:ind w:firstLine="420" w:firstLineChars="200"/>
        <w:rPr>
          <w:rFonts w:hint="eastAsia" w:ascii="宋体" w:hAnsi="宋体" w:eastAsia="宋体" w:cs="宋体"/>
          <w:b w:val="0"/>
          <w:color w:val="auto"/>
          <w:sz w:val="21"/>
          <w:szCs w:val="21"/>
        </w:rPr>
      </w:pPr>
      <w:bookmarkStart w:id="308" w:name="_Toc160553097"/>
      <w:bookmarkStart w:id="309" w:name="_Toc337558806"/>
      <w:r>
        <w:rPr>
          <w:rFonts w:hint="eastAsia" w:ascii="宋体" w:hAnsi="宋体" w:eastAsia="宋体" w:cs="宋体"/>
          <w:b w:val="0"/>
          <w:color w:val="auto"/>
          <w:sz w:val="21"/>
          <w:szCs w:val="21"/>
        </w:rPr>
        <w:t>13.2竣工验收</w:t>
      </w:r>
      <w:bookmarkEnd w:id="308"/>
    </w:p>
    <w:bookmarkEnd w:id="306"/>
    <w:bookmarkEnd w:id="307"/>
    <w:bookmarkEnd w:id="309"/>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13.2.1竣工验收条件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工程具备以下条件的，承包人可以申请竣工验收：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（1）除发包人同意的甩项工作和缺陷修补工作外，合同范围内的全部工程以及有关工作，包括合同要求的试验、试运行以及检验均已完成，并符合合同要求；</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（2）已按合同约定编制了甩项工作和缺陷修补工作清单以及相应的施工计划；</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（3）已按合同约定的内容和份数备齐竣工资料。</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13.2.2竣工验收程序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除专用合同条款另有约定外，承包人申请竣工验收的，应当按照以下程序进行：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（3）竣工验收合格的，发包人应在验收合格后14天内向承包人签发工程接收证书。发包人无正当理由逾期不颁发工程接收证书的，自验收合格后第15天起视为已颁发工程接收证书。</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除专用合同条款另有约定外，发包人不按照本项约定组织竣工验收、颁发工程接收证书的，每逾期一天，应以签约合同价为基数，按照中国人民银行发布的同期同类贷款基准利率支付违约金。</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13.2.3竣工日期</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10" w:name="#go14"/>
      <w:bookmarkEnd w:id="310"/>
      <w:r>
        <w:rPr>
          <w:rFonts w:hint="eastAsia" w:ascii="宋体" w:hAnsi="宋体" w:eastAsia="宋体" w:cs="宋体"/>
          <w:color w:val="auto"/>
          <w:kern w:val="0"/>
          <w:sz w:val="21"/>
          <w:szCs w:val="21"/>
        </w:rPr>
        <w:t>收申请报告的日期为实际竣工日期；工程未经竣工验收，发包人擅自使用的，以转移占有工程之日为实际竣工日期。</w:t>
      </w:r>
    </w:p>
    <w:p>
      <w:pPr>
        <w:spacing w:line="360" w:lineRule="auto"/>
        <w:ind w:firstLine="420" w:firstLineChars="200"/>
        <w:jc w:val="left"/>
        <w:outlineLvl w:val="0"/>
        <w:rPr>
          <w:rFonts w:hint="eastAsia" w:ascii="宋体" w:hAnsi="宋体" w:eastAsia="宋体" w:cs="宋体"/>
          <w:color w:val="auto"/>
          <w:kern w:val="0"/>
          <w:sz w:val="21"/>
          <w:szCs w:val="21"/>
        </w:rPr>
      </w:pPr>
      <w:bookmarkStart w:id="311" w:name="_Toc160553098"/>
      <w:r>
        <w:rPr>
          <w:rFonts w:hint="eastAsia" w:ascii="宋体" w:hAnsi="宋体" w:eastAsia="宋体" w:cs="宋体"/>
          <w:color w:val="auto"/>
          <w:kern w:val="0"/>
          <w:sz w:val="21"/>
          <w:szCs w:val="21"/>
        </w:rPr>
        <w:t>13.2.4 拒绝接收全部或部分工程</w:t>
      </w:r>
      <w:bookmarkEnd w:id="311"/>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13.2.5 移交、接收全部与部分工程</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除专用合同条款另有约定外，合同当事人应当在颁发工程接收证书后7天内完成工程的移交。</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发包人无正当理由不接收工程的，发包人自应当接收工程之日起，承担工程照管、成品保护、保管等与工程有关的各项费用，合同当事人可以在专用合同条款中另行约定发包人逾期接收工程的违约责任。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承包人无正当理由不移交工程的，承包人应承担工程照管、成品保护、保管等与工程有关的各项费用，合同当事人可以在专用合同条款中另行约定承包人无正当理由不移交工程的违约责任。</w:t>
      </w:r>
    </w:p>
    <w:p>
      <w:pPr>
        <w:pStyle w:val="6"/>
        <w:spacing w:before="120" w:after="120" w:line="360" w:lineRule="auto"/>
        <w:ind w:firstLine="420" w:firstLineChars="200"/>
        <w:rPr>
          <w:rFonts w:hint="eastAsia" w:ascii="宋体" w:hAnsi="宋体" w:eastAsia="宋体" w:cs="宋体"/>
          <w:b w:val="0"/>
          <w:color w:val="auto"/>
          <w:sz w:val="21"/>
          <w:szCs w:val="21"/>
        </w:rPr>
      </w:pPr>
      <w:bookmarkStart w:id="312" w:name="_Toc160553099"/>
      <w:bookmarkStart w:id="313" w:name="_Toc337558807"/>
      <w:bookmarkStart w:id="314" w:name="_Toc296503111"/>
      <w:bookmarkStart w:id="315" w:name="_Toc296346612"/>
      <w:r>
        <w:rPr>
          <w:rFonts w:hint="eastAsia" w:ascii="宋体" w:hAnsi="宋体" w:eastAsia="宋体" w:cs="宋体"/>
          <w:b w:val="0"/>
          <w:color w:val="auto"/>
          <w:sz w:val="21"/>
          <w:szCs w:val="21"/>
        </w:rPr>
        <w:t>13.3工程试车</w:t>
      </w:r>
      <w:bookmarkEnd w:id="312"/>
    </w:p>
    <w:bookmarkEnd w:id="313"/>
    <w:bookmarkEnd w:id="314"/>
    <w:bookmarkEnd w:id="315"/>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13.3.1试车程序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工程需要试车的，除专用合同条款另有约定外，试车内容应与承包人承包范围相一致，试车费用由承包人承担。工程试车应按如下程序进行：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13.3.2 试车中的责任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13.3.3 投料试车</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如需进行投料试车的，发包人应在工程竣工验收后组织投料试车。发包人要求在工程竣工验收前进行或需要承包人配合时，应征得承包人同意，并在专用合同条款中约定有关事项。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6"/>
        <w:spacing w:before="120" w:after="120" w:line="360" w:lineRule="auto"/>
        <w:rPr>
          <w:rFonts w:hint="eastAsia" w:ascii="宋体" w:hAnsi="宋体" w:eastAsia="宋体" w:cs="宋体"/>
          <w:b w:val="0"/>
          <w:color w:val="auto"/>
          <w:sz w:val="21"/>
          <w:szCs w:val="21"/>
        </w:rPr>
      </w:pPr>
      <w:bookmarkStart w:id="316" w:name="_Toc337558808"/>
      <w:r>
        <w:rPr>
          <w:rFonts w:hint="eastAsia" w:ascii="宋体" w:hAnsi="宋体" w:eastAsia="宋体" w:cs="宋体"/>
          <w:b w:val="0"/>
          <w:color w:val="auto"/>
          <w:sz w:val="21"/>
          <w:szCs w:val="21"/>
        </w:rPr>
        <w:t xml:space="preserve">    </w:t>
      </w:r>
      <w:bookmarkStart w:id="317" w:name="_Toc160553100"/>
      <w:r>
        <w:rPr>
          <w:rFonts w:hint="eastAsia" w:ascii="宋体" w:hAnsi="宋体" w:eastAsia="宋体" w:cs="宋体"/>
          <w:b w:val="0"/>
          <w:color w:val="auto"/>
          <w:sz w:val="21"/>
          <w:szCs w:val="21"/>
        </w:rPr>
        <w:t>13.4提前交付单位工程的验收</w:t>
      </w:r>
      <w:bookmarkEnd w:id="317"/>
    </w:p>
    <w:bookmarkEnd w:id="316"/>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13.4.1 发包人需要在工程竣工前使用单位工程的，或承包人提出提前交付已经竣工的单位工程且经发包人同意的，可进行单位工程验收，验收的程序按照第13.2款〔竣工验收〕的约定进行。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验收合格后，由监理人向承包人出具经发包人签认的单位工程接收证书。已签发单位工程接收证书的单位工程由发包人负责照管。单位工程的验收成果和结论作为整体工程竣工验收申请报告的附件。</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13.4.2 发包人要求在工程竣工前交付单位工程，由此导致承包人费用增加和（或）工期延误的，由发包人承担由此增加的费用和（或）延误的工期，并支付承包人合理的利润。</w:t>
      </w:r>
    </w:p>
    <w:p>
      <w:pPr>
        <w:pStyle w:val="6"/>
        <w:spacing w:before="120" w:after="120" w:line="360" w:lineRule="auto"/>
        <w:ind w:firstLine="420" w:firstLineChars="200"/>
        <w:rPr>
          <w:rFonts w:hint="eastAsia" w:ascii="宋体" w:hAnsi="宋体" w:eastAsia="宋体" w:cs="宋体"/>
          <w:b w:val="0"/>
          <w:color w:val="auto"/>
          <w:sz w:val="21"/>
          <w:szCs w:val="21"/>
        </w:rPr>
      </w:pPr>
      <w:bookmarkStart w:id="318" w:name="_Toc160553101"/>
      <w:r>
        <w:rPr>
          <w:rFonts w:hint="eastAsia" w:ascii="宋体" w:hAnsi="宋体" w:eastAsia="宋体" w:cs="宋体"/>
          <w:b w:val="0"/>
          <w:color w:val="auto"/>
          <w:sz w:val="21"/>
          <w:szCs w:val="21"/>
        </w:rPr>
        <w:t>13.5 施工期运行</w:t>
      </w:r>
      <w:bookmarkEnd w:id="318"/>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13.5.2 在施工期运行中发现工程或工程设备损坏或存在缺陷的，由承包人按第15.2款〔缺陷责任期〕约定进行修复。</w:t>
      </w:r>
    </w:p>
    <w:p>
      <w:pPr>
        <w:pStyle w:val="6"/>
        <w:spacing w:before="120" w:after="120" w:line="360" w:lineRule="auto"/>
        <w:ind w:firstLine="420" w:firstLineChars="200"/>
        <w:rPr>
          <w:rFonts w:hint="eastAsia" w:ascii="宋体" w:hAnsi="宋体" w:eastAsia="宋体" w:cs="宋体"/>
          <w:b w:val="0"/>
          <w:color w:val="auto"/>
          <w:sz w:val="21"/>
          <w:szCs w:val="21"/>
        </w:rPr>
      </w:pPr>
      <w:bookmarkStart w:id="319" w:name="_Toc296503112"/>
      <w:bookmarkStart w:id="320" w:name="_Toc296346613"/>
      <w:bookmarkStart w:id="321" w:name="_Toc160553102"/>
      <w:bookmarkStart w:id="322" w:name="_Toc337558809"/>
      <w:r>
        <w:rPr>
          <w:rFonts w:hint="eastAsia" w:ascii="宋体" w:hAnsi="宋体" w:eastAsia="宋体" w:cs="宋体"/>
          <w:b w:val="0"/>
          <w:color w:val="auto"/>
          <w:sz w:val="21"/>
          <w:szCs w:val="21"/>
        </w:rPr>
        <w:t>13.6 竣工退</w:t>
      </w:r>
      <w:bookmarkEnd w:id="319"/>
      <w:bookmarkEnd w:id="320"/>
      <w:r>
        <w:rPr>
          <w:rFonts w:hint="eastAsia" w:ascii="宋体" w:hAnsi="宋体" w:eastAsia="宋体" w:cs="宋体"/>
          <w:b w:val="0"/>
          <w:color w:val="auto"/>
          <w:sz w:val="21"/>
          <w:szCs w:val="21"/>
        </w:rPr>
        <w:t>场</w:t>
      </w:r>
      <w:bookmarkEnd w:id="321"/>
    </w:p>
    <w:bookmarkEnd w:id="322"/>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13.6.1 竣工退场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颁发工程接收证书后，承包人应按以下要求对施工现场进行清理：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（1）施工现场内残留的垃圾已全部清除出场；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（2）临时工程已拆除，场地已进行清理、平整或复原；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（3）按合同约定应撤离的人员、承包人施工设备和剩余的材料，包括废弃的施工设备和材料，已按计划撤离施工现场；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（4）施工现场周边及其附近道路、河道的施工堆积物，已全部清理；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（5）施工现场其他场地清理工作已全部完成。</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13.6.2 地表还原</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5"/>
        <w:spacing w:before="120" w:after="120" w:line="360" w:lineRule="auto"/>
        <w:rPr>
          <w:rFonts w:hint="eastAsia" w:ascii="宋体" w:hAnsi="宋体" w:eastAsia="宋体" w:cs="宋体"/>
          <w:b w:val="0"/>
          <w:color w:val="auto"/>
          <w:sz w:val="21"/>
          <w:szCs w:val="21"/>
        </w:rPr>
      </w:pPr>
      <w:bookmarkStart w:id="323" w:name="_Toc160553103"/>
      <w:bookmarkStart w:id="324" w:name="_Toc337558810"/>
      <w:bookmarkStart w:id="325" w:name="_Toc296346614"/>
      <w:bookmarkStart w:id="326" w:name="_Toc296503113"/>
      <w:r>
        <w:rPr>
          <w:rFonts w:hint="eastAsia" w:ascii="宋体" w:hAnsi="宋体" w:eastAsia="宋体" w:cs="宋体"/>
          <w:b w:val="0"/>
          <w:color w:val="auto"/>
          <w:sz w:val="21"/>
          <w:szCs w:val="21"/>
        </w:rPr>
        <w:t>14. 竣工结算</w:t>
      </w:r>
      <w:bookmarkEnd w:id="323"/>
    </w:p>
    <w:bookmarkEnd w:id="324"/>
    <w:p>
      <w:pPr>
        <w:pStyle w:val="6"/>
        <w:spacing w:before="120" w:after="120" w:line="360" w:lineRule="auto"/>
        <w:ind w:firstLine="420" w:firstLineChars="200"/>
        <w:rPr>
          <w:rFonts w:hint="eastAsia" w:ascii="宋体" w:hAnsi="宋体" w:eastAsia="宋体" w:cs="宋体"/>
          <w:b w:val="0"/>
          <w:color w:val="auto"/>
          <w:sz w:val="21"/>
          <w:szCs w:val="21"/>
        </w:rPr>
      </w:pPr>
      <w:bookmarkStart w:id="327" w:name="_Toc160553104"/>
      <w:bookmarkStart w:id="328" w:name="_Toc337558811"/>
      <w:r>
        <w:rPr>
          <w:rFonts w:hint="eastAsia" w:ascii="宋体" w:hAnsi="宋体" w:eastAsia="宋体" w:cs="宋体"/>
          <w:b w:val="0"/>
          <w:color w:val="auto"/>
          <w:sz w:val="21"/>
          <w:szCs w:val="21"/>
        </w:rPr>
        <w:t>14.1 竣工结算申请</w:t>
      </w:r>
      <w:bookmarkEnd w:id="327"/>
    </w:p>
    <w:bookmarkEnd w:id="328"/>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除专用合同条款另有约定外，</w:t>
      </w:r>
      <w:r>
        <w:rPr>
          <w:rFonts w:hint="eastAsia" w:ascii="宋体" w:hAnsi="宋体" w:eastAsia="宋体" w:cs="宋体"/>
          <w:color w:val="auto"/>
          <w:sz w:val="21"/>
          <w:szCs w:val="21"/>
        </w:rPr>
        <w:t>承包人应在工程竣工验收合格后28天内向发包人和监理人提交竣工结算申请单，并提交完整的结算资料，有关竣工结算申请单的资料清单和份数等要求由合同当事人在专用合同条款中约定。</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除专用合同条款另有约定外，竣工结算申请单应包括以下内容：</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（1）竣工结算合同价格；</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（2）发包人已支付承包人的款项；</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（3）应扣留的质量保证金。已缴纳履约保证金的或提供其他工程质量担保方式的除外； </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（4）发包人应支付承包人的合同价款。</w:t>
      </w:r>
    </w:p>
    <w:p>
      <w:pPr>
        <w:pStyle w:val="6"/>
        <w:spacing w:before="120" w:after="120" w:line="360" w:lineRule="auto"/>
        <w:ind w:firstLine="420" w:firstLineChars="200"/>
        <w:rPr>
          <w:rFonts w:hint="eastAsia" w:ascii="宋体" w:hAnsi="宋体" w:eastAsia="宋体" w:cs="宋体"/>
          <w:b w:val="0"/>
          <w:color w:val="auto"/>
          <w:sz w:val="21"/>
          <w:szCs w:val="21"/>
        </w:rPr>
      </w:pPr>
      <w:bookmarkStart w:id="329" w:name="_Toc160553105"/>
      <w:bookmarkStart w:id="330" w:name="_Toc337558812"/>
      <w:r>
        <w:rPr>
          <w:rFonts w:hint="eastAsia" w:ascii="宋体" w:hAnsi="宋体" w:eastAsia="宋体" w:cs="宋体"/>
          <w:b w:val="0"/>
          <w:color w:val="auto"/>
          <w:sz w:val="21"/>
          <w:szCs w:val="21"/>
        </w:rPr>
        <w:t>14.2 竣工结算审核</w:t>
      </w:r>
      <w:bookmarkEnd w:id="329"/>
    </w:p>
    <w:bookmarkEnd w:id="33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auto"/>
          <w:sz w:val="21"/>
          <w:szCs w:val="21"/>
        </w:rPr>
        <w:t>发包人对竣工</w:t>
      </w:r>
      <w:r>
        <w:rPr>
          <w:rFonts w:hint="eastAsia" w:ascii="宋体" w:hAnsi="宋体" w:eastAsia="宋体" w:cs="宋体"/>
          <w:color w:val="auto"/>
          <w:kern w:val="0"/>
          <w:sz w:val="21"/>
          <w:szCs w:val="21"/>
        </w:rPr>
        <w:t>结算</w:t>
      </w:r>
      <w:r>
        <w:rPr>
          <w:rFonts w:hint="eastAsia" w:ascii="宋体" w:hAnsi="宋体" w:eastAsia="宋体" w:cs="宋体"/>
          <w:color w:val="auto"/>
          <w:sz w:val="21"/>
          <w:szCs w:val="21"/>
        </w:rPr>
        <w:t>申请单有异议的，有权要求承包人进行修正和提供补充资料，承包人应提交修正后的竣工</w:t>
      </w:r>
      <w:r>
        <w:rPr>
          <w:rFonts w:hint="eastAsia" w:ascii="宋体" w:hAnsi="宋体" w:eastAsia="宋体" w:cs="宋体"/>
          <w:color w:val="auto"/>
          <w:kern w:val="0"/>
          <w:sz w:val="21"/>
          <w:szCs w:val="21"/>
        </w:rPr>
        <w:t>结算</w:t>
      </w:r>
      <w:r>
        <w:rPr>
          <w:rFonts w:hint="eastAsia" w:ascii="宋体" w:hAnsi="宋体" w:eastAsia="宋体" w:cs="宋体"/>
          <w:color w:val="auto"/>
          <w:sz w:val="21"/>
          <w:szCs w:val="21"/>
        </w:rPr>
        <w:t>申请单。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6"/>
        <w:spacing w:before="120" w:after="120" w:line="360" w:lineRule="auto"/>
        <w:ind w:firstLine="420" w:firstLineChars="200"/>
        <w:rPr>
          <w:rFonts w:hint="eastAsia" w:ascii="宋体" w:hAnsi="宋体" w:eastAsia="宋体" w:cs="宋体"/>
          <w:b w:val="0"/>
          <w:color w:val="auto"/>
          <w:sz w:val="21"/>
          <w:szCs w:val="21"/>
        </w:rPr>
      </w:pPr>
      <w:bookmarkStart w:id="331" w:name="_Toc160553106"/>
      <w:bookmarkStart w:id="332" w:name="_Toc337558813"/>
      <w:r>
        <w:rPr>
          <w:rFonts w:hint="eastAsia" w:ascii="宋体" w:hAnsi="宋体" w:eastAsia="宋体" w:cs="宋体"/>
          <w:b w:val="0"/>
          <w:color w:val="auto"/>
          <w:sz w:val="21"/>
          <w:szCs w:val="21"/>
        </w:rPr>
        <w:t>14.3 甩项竣工协议</w:t>
      </w:r>
      <w:bookmarkEnd w:id="331"/>
    </w:p>
    <w:bookmarkEnd w:id="332"/>
    <w:p>
      <w:pPr>
        <w:autoSpaceDE w:val="0"/>
        <w:autoSpaceDN w:val="0"/>
        <w:adjustRightInd w:val="0"/>
        <w:spacing w:line="360" w:lineRule="auto"/>
        <w:ind w:firstLine="411" w:firstLineChars="196"/>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6"/>
        <w:spacing w:before="120" w:after="120" w:line="360" w:lineRule="auto"/>
        <w:ind w:firstLine="420" w:firstLineChars="200"/>
        <w:rPr>
          <w:rFonts w:hint="eastAsia" w:ascii="宋体" w:hAnsi="宋体" w:eastAsia="宋体" w:cs="宋体"/>
          <w:b w:val="0"/>
          <w:color w:val="auto"/>
          <w:sz w:val="21"/>
          <w:szCs w:val="21"/>
        </w:rPr>
      </w:pPr>
      <w:bookmarkStart w:id="333" w:name="_Toc160553107"/>
      <w:bookmarkStart w:id="334" w:name="_Toc337558814"/>
      <w:r>
        <w:rPr>
          <w:rFonts w:hint="eastAsia" w:ascii="宋体" w:hAnsi="宋体" w:eastAsia="宋体" w:cs="宋体"/>
          <w:b w:val="0"/>
          <w:color w:val="auto"/>
          <w:sz w:val="21"/>
          <w:szCs w:val="21"/>
        </w:rPr>
        <w:t>14.4 最终结清</w:t>
      </w:r>
      <w:bookmarkEnd w:id="333"/>
    </w:p>
    <w:bookmarkEnd w:id="33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14.4.1 最终结清申请单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（1）除专用合同条款另有约定外，承包人应在缺陷责任期终止证书颁发后7天内，按专用合同条款约定的份数向发包人提交最终结清申请单，并提供相关证明材料。</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除专用合同条款另有约定外，</w:t>
      </w:r>
      <w:r>
        <w:rPr>
          <w:rFonts w:hint="eastAsia" w:ascii="宋体" w:hAnsi="宋体" w:eastAsia="宋体" w:cs="宋体"/>
          <w:color w:val="auto"/>
          <w:kern w:val="0"/>
          <w:sz w:val="21"/>
          <w:szCs w:val="21"/>
        </w:rPr>
        <w:t>最终结清申请单</w:t>
      </w:r>
      <w:r>
        <w:rPr>
          <w:rFonts w:hint="eastAsia" w:ascii="宋体" w:hAnsi="宋体" w:eastAsia="宋体" w:cs="宋体"/>
          <w:color w:val="auto"/>
          <w:sz w:val="21"/>
          <w:szCs w:val="21"/>
        </w:rPr>
        <w:t>应列明质量保证金、应扣除的质量保证金、缺陷责任期内发生的增减费用。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（2）发包人对最终结清申请单内容有异议的，有权要求承包人进行修正和提供补充资料，承包人应向发包人提交修正后的最终结清申请单。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14.4.2 最终结清证书和支付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（3）承包人对发包人颁发的最终结清证书有异议的，按第20条〔争议解决〕的约定办理。</w:t>
      </w:r>
    </w:p>
    <w:p>
      <w:pPr>
        <w:pStyle w:val="5"/>
        <w:spacing w:before="120" w:after="120" w:line="360" w:lineRule="auto"/>
        <w:rPr>
          <w:rFonts w:hint="eastAsia" w:ascii="宋体" w:hAnsi="宋体" w:eastAsia="宋体" w:cs="宋体"/>
          <w:b w:val="0"/>
          <w:color w:val="auto"/>
          <w:sz w:val="21"/>
          <w:szCs w:val="21"/>
        </w:rPr>
      </w:pPr>
      <w:bookmarkStart w:id="335" w:name="_Toc160553108"/>
      <w:bookmarkStart w:id="336" w:name="_Toc337558815"/>
      <w:r>
        <w:rPr>
          <w:rFonts w:hint="eastAsia" w:ascii="宋体" w:hAnsi="宋体" w:eastAsia="宋体" w:cs="宋体"/>
          <w:b w:val="0"/>
          <w:color w:val="auto"/>
          <w:sz w:val="21"/>
          <w:szCs w:val="21"/>
        </w:rPr>
        <w:t>15. 缺陷责任与保修</w:t>
      </w:r>
      <w:bookmarkEnd w:id="335"/>
    </w:p>
    <w:bookmarkEnd w:id="325"/>
    <w:bookmarkEnd w:id="326"/>
    <w:bookmarkEnd w:id="336"/>
    <w:p>
      <w:pPr>
        <w:pStyle w:val="6"/>
        <w:spacing w:before="120" w:after="120" w:line="360" w:lineRule="auto"/>
        <w:ind w:firstLine="420" w:firstLineChars="200"/>
        <w:rPr>
          <w:rFonts w:hint="eastAsia" w:ascii="宋体" w:hAnsi="宋体" w:eastAsia="宋体" w:cs="宋体"/>
          <w:b w:val="0"/>
          <w:color w:val="auto"/>
          <w:sz w:val="21"/>
          <w:szCs w:val="21"/>
        </w:rPr>
      </w:pPr>
      <w:bookmarkStart w:id="337" w:name="_Toc160553109"/>
      <w:bookmarkStart w:id="338" w:name="_Toc337558816"/>
      <w:bookmarkStart w:id="339" w:name="_Toc296346615"/>
      <w:bookmarkStart w:id="340" w:name="_Toc296503114"/>
      <w:r>
        <w:rPr>
          <w:rFonts w:hint="eastAsia" w:ascii="宋体" w:hAnsi="宋体" w:eastAsia="宋体" w:cs="宋体"/>
          <w:b w:val="0"/>
          <w:color w:val="auto"/>
          <w:sz w:val="21"/>
          <w:szCs w:val="21"/>
        </w:rPr>
        <w:t>15.1 工程保修的原则</w:t>
      </w:r>
      <w:bookmarkEnd w:id="337"/>
    </w:p>
    <w:bookmarkEnd w:id="338"/>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在工程移交发包人后，因承包人原因产生的质量缺陷，承包人应承担质量缺陷责任和保修义务。缺陷责任期届满，承包人仍应按合同约定的工程各部位保修年限承担保修义务。</w:t>
      </w:r>
    </w:p>
    <w:p>
      <w:pPr>
        <w:pStyle w:val="6"/>
        <w:spacing w:before="120" w:after="120" w:line="360" w:lineRule="auto"/>
        <w:ind w:firstLine="420" w:firstLineChars="200"/>
        <w:rPr>
          <w:rFonts w:hint="eastAsia" w:ascii="宋体" w:hAnsi="宋体" w:eastAsia="宋体" w:cs="宋体"/>
          <w:b w:val="0"/>
          <w:color w:val="auto"/>
          <w:sz w:val="21"/>
          <w:szCs w:val="21"/>
        </w:rPr>
      </w:pPr>
      <w:bookmarkStart w:id="341" w:name="_Toc160553110"/>
      <w:bookmarkStart w:id="342" w:name="_Toc337558817"/>
      <w:r>
        <w:rPr>
          <w:rFonts w:hint="eastAsia" w:ascii="宋体" w:hAnsi="宋体" w:eastAsia="宋体" w:cs="宋体"/>
          <w:b w:val="0"/>
          <w:color w:val="auto"/>
          <w:sz w:val="21"/>
          <w:szCs w:val="21"/>
        </w:rPr>
        <w:t>15.2 缺陷责任期</w:t>
      </w:r>
      <w:bookmarkEnd w:id="339"/>
      <w:bookmarkEnd w:id="340"/>
      <w:bookmarkEnd w:id="341"/>
    </w:p>
    <w:bookmarkEnd w:id="342"/>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15.2.1 缺陷责任期从工程通过竣工验收之日起计算，合同当事人应在专用合同条款约定缺陷责任期的具体期限，但该期限最长不超过24个月。</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auto"/>
          <w:sz w:val="21"/>
          <w:szCs w:val="21"/>
        </w:rPr>
        <w:t>包人延长缺陷责任期，</w:t>
      </w:r>
      <w:r>
        <w:rPr>
          <w:rFonts w:hint="eastAsia" w:ascii="宋体" w:hAnsi="宋体" w:eastAsia="宋体" w:cs="宋体"/>
          <w:color w:val="auto"/>
          <w:kern w:val="0"/>
          <w:sz w:val="21"/>
          <w:szCs w:val="21"/>
        </w:rPr>
        <w:t>并应在原缺陷责任期届满前发出延长通知。</w:t>
      </w:r>
      <w:r>
        <w:rPr>
          <w:rFonts w:hint="eastAsia" w:ascii="宋体" w:hAnsi="宋体" w:eastAsia="宋体" w:cs="宋体"/>
          <w:bCs/>
          <w:color w:val="auto"/>
          <w:sz w:val="21"/>
          <w:szCs w:val="21"/>
        </w:rPr>
        <w:t>但缺陷责任期（含延长部分）最长</w:t>
      </w:r>
      <w:r>
        <w:rPr>
          <w:rFonts w:hint="eastAsia" w:ascii="宋体" w:hAnsi="宋体" w:eastAsia="宋体" w:cs="宋体"/>
          <w:color w:val="auto"/>
          <w:kern w:val="0"/>
          <w:sz w:val="21"/>
          <w:szCs w:val="21"/>
        </w:rPr>
        <w:t>不能超过24个月。</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由他人原因造成的缺陷，发包人负责组织维修，承包人不承担费用，且发包人不得从保证金中扣除费用。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15.2.3 任何一项缺陷或损坏修复后，经检查证明其影响了工程或工程设备的使用性能，承包人应重新进行合同约定的试验和试运行，试验和试运行的全部费用应由责任方承担。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6"/>
        <w:spacing w:before="120" w:after="120" w:line="360" w:lineRule="auto"/>
        <w:ind w:firstLine="420" w:firstLineChars="200"/>
        <w:rPr>
          <w:rFonts w:hint="eastAsia" w:ascii="宋体" w:hAnsi="宋体" w:eastAsia="宋体" w:cs="宋体"/>
          <w:b w:val="0"/>
          <w:color w:val="auto"/>
          <w:sz w:val="21"/>
          <w:szCs w:val="21"/>
        </w:rPr>
      </w:pPr>
      <w:bookmarkStart w:id="343" w:name="_Toc160553111"/>
      <w:bookmarkStart w:id="344" w:name="_Toc337558818"/>
      <w:bookmarkStart w:id="345" w:name="_Toc296503115"/>
      <w:bookmarkStart w:id="346" w:name="_Toc296346616"/>
      <w:r>
        <w:rPr>
          <w:rFonts w:hint="eastAsia" w:ascii="宋体" w:hAnsi="宋体" w:eastAsia="宋体" w:cs="宋体"/>
          <w:b w:val="0"/>
          <w:color w:val="auto"/>
          <w:sz w:val="21"/>
          <w:szCs w:val="21"/>
        </w:rPr>
        <w:t>15.3 质量保证金</w:t>
      </w:r>
      <w:bookmarkEnd w:id="343"/>
    </w:p>
    <w:bookmarkEnd w:id="34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经合同当事人协商一致扣留质量保证金的，应在专用合同条款中予以明确。</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在工程项目竣工前，承包人已经提供履约担保的，发包人不得同时预留工程质量保证金。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15.3.1 承包人提供质量保证金的方式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承包人提供质量保证金有以下三种方式：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（1）质量保证金保函；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（2）相应比例的工程款；</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（3）双方约定的其他方式。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除专用合同条款另有约定外，质量保证金原则上采用上述第（1）种方式。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15.3.2 质量保证金的扣留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质量保证金的扣留有以下三种方式：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（2）工</w:t>
      </w:r>
      <w:bookmarkStart w:id="347" w:name="#go6"/>
      <w:bookmarkEnd w:id="347"/>
      <w:r>
        <w:rPr>
          <w:rFonts w:hint="eastAsia" w:ascii="宋体" w:hAnsi="宋体" w:eastAsia="宋体" w:cs="宋体"/>
          <w:color w:val="auto"/>
          <w:kern w:val="0"/>
          <w:sz w:val="21"/>
          <w:szCs w:val="21"/>
        </w:rPr>
        <w:t>程竣工结算时一次性扣留质量保证金；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（3）双方约定的其他扣留方式。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除专用合同条款另有约定外，质量保证金的扣留原则上采用上述第（1）种方式。</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w:t>
      </w:r>
      <w:bookmarkStart w:id="348" w:name="#go4"/>
      <w:bookmarkEnd w:id="348"/>
      <w:r>
        <w:rPr>
          <w:rFonts w:hint="eastAsia" w:ascii="宋体" w:hAnsi="宋体" w:eastAsia="宋体" w:cs="宋体"/>
          <w:color w:val="auto"/>
          <w:kern w:val="0"/>
          <w:sz w:val="21"/>
          <w:szCs w:val="21"/>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发包人在退还质量保证金的同时按照中国人民银行发布的同期同类贷款基准利率支付利息。</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15.3.3 </w:t>
      </w:r>
      <w:r>
        <w:rPr>
          <w:rFonts w:hint="eastAsia" w:ascii="宋体" w:hAnsi="宋体" w:eastAsia="宋体" w:cs="宋体"/>
          <w:color w:val="auto"/>
          <w:sz w:val="21"/>
          <w:szCs w:val="21"/>
        </w:rPr>
        <w:t>质量保证金</w:t>
      </w:r>
      <w:r>
        <w:rPr>
          <w:rFonts w:hint="eastAsia" w:ascii="宋体" w:hAnsi="宋体" w:eastAsia="宋体" w:cs="宋体"/>
          <w:color w:val="auto"/>
          <w:kern w:val="0"/>
          <w:sz w:val="21"/>
          <w:szCs w:val="21"/>
        </w:rPr>
        <w:t>的退还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缺陷责任期内，承包人认真履行合同约定的责任，到期后，承包人可向发包人申请返还保证金。</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发包人和承包人对保证金预留、返还以及工程维修质量、费用有争议的，按本合同第20条约定的争议和纠纷解决程序处理。</w:t>
      </w:r>
    </w:p>
    <w:p>
      <w:pPr>
        <w:pStyle w:val="6"/>
        <w:spacing w:before="120" w:after="120" w:line="360" w:lineRule="auto"/>
        <w:ind w:firstLine="420" w:firstLineChars="200"/>
        <w:rPr>
          <w:rFonts w:hint="eastAsia" w:ascii="宋体" w:hAnsi="宋体" w:eastAsia="宋体" w:cs="宋体"/>
          <w:b w:val="0"/>
          <w:color w:val="auto"/>
          <w:sz w:val="21"/>
          <w:szCs w:val="21"/>
        </w:rPr>
      </w:pPr>
      <w:bookmarkStart w:id="349" w:name="_Toc160553112"/>
      <w:bookmarkStart w:id="350" w:name="_Toc337558819"/>
      <w:r>
        <w:rPr>
          <w:rFonts w:hint="eastAsia" w:ascii="宋体" w:hAnsi="宋体" w:eastAsia="宋体" w:cs="宋体"/>
          <w:b w:val="0"/>
          <w:color w:val="auto"/>
          <w:sz w:val="21"/>
          <w:szCs w:val="21"/>
        </w:rPr>
        <w:t>15.4 保修</w:t>
      </w:r>
      <w:bookmarkEnd w:id="349"/>
    </w:p>
    <w:bookmarkEnd w:id="345"/>
    <w:bookmarkEnd w:id="346"/>
    <w:bookmarkEnd w:id="350"/>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15.4.1保修责任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发包人未经竣工验收擅自使用工程的，保修期自</w:t>
      </w:r>
      <w:r>
        <w:rPr>
          <w:rFonts w:hint="eastAsia" w:ascii="宋体" w:hAnsi="宋体" w:eastAsia="宋体" w:cs="宋体"/>
          <w:color w:val="auto"/>
          <w:kern w:val="0"/>
          <w:sz w:val="21"/>
          <w:szCs w:val="21"/>
        </w:rPr>
        <w:t>转移占有之日起算</w:t>
      </w:r>
      <w:r>
        <w:rPr>
          <w:rFonts w:hint="eastAsia" w:ascii="宋体" w:hAnsi="宋体" w:eastAsia="宋体" w:cs="宋体"/>
          <w:color w:val="auto"/>
          <w:sz w:val="21"/>
          <w:szCs w:val="21"/>
        </w:rPr>
        <w:t>。</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15.4.2 修复费用</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保修期内，修复的费用按照以下约定处理：</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（1）保修期内，因承包人原因造成工程的缺陷、损坏，承包人应负责修复，并承担修复的费用以及因工程的缺陷、损坏造成的人身伤害和财产损失；</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（2）保修期内，因发包人使用不当造成工程的缺陷、损坏，可以委托承包人修复，但发包人应承担修复的费用，并支付承包人合理利润；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（3）因其他原因造成工程的缺陷、损坏，可以委托承包人修复，发包人应承担修复的费用，并支付承包人合理的利润，因工程的缺陷、损坏造成的人身伤害和财产损失由责任方承担。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15.4.3 修复通知</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15.4.4 未能修复</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15.4.5 承包人出入权</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5"/>
        <w:spacing w:before="120" w:after="120" w:line="360" w:lineRule="auto"/>
        <w:rPr>
          <w:rFonts w:hint="eastAsia" w:ascii="宋体" w:hAnsi="宋体" w:eastAsia="宋体" w:cs="宋体"/>
          <w:b w:val="0"/>
          <w:color w:val="auto"/>
          <w:sz w:val="21"/>
          <w:szCs w:val="21"/>
        </w:rPr>
      </w:pPr>
      <w:bookmarkStart w:id="351" w:name="_Toc160553113"/>
      <w:bookmarkStart w:id="352" w:name="_Toc337558820"/>
      <w:r>
        <w:rPr>
          <w:rFonts w:hint="eastAsia" w:ascii="宋体" w:hAnsi="宋体" w:eastAsia="宋体" w:cs="宋体"/>
          <w:b w:val="0"/>
          <w:color w:val="auto"/>
          <w:sz w:val="21"/>
          <w:szCs w:val="21"/>
        </w:rPr>
        <w:t>16. 违约</w:t>
      </w:r>
      <w:bookmarkEnd w:id="351"/>
    </w:p>
    <w:bookmarkEnd w:id="352"/>
    <w:p>
      <w:pPr>
        <w:pStyle w:val="6"/>
        <w:spacing w:before="120" w:after="120" w:line="360" w:lineRule="auto"/>
        <w:ind w:firstLine="420" w:firstLineChars="200"/>
        <w:rPr>
          <w:rFonts w:hint="eastAsia" w:ascii="宋体" w:hAnsi="宋体" w:eastAsia="宋体" w:cs="宋体"/>
          <w:b w:val="0"/>
          <w:color w:val="auto"/>
          <w:sz w:val="21"/>
          <w:szCs w:val="21"/>
        </w:rPr>
      </w:pPr>
      <w:bookmarkStart w:id="353" w:name="_Toc296503129"/>
      <w:bookmarkStart w:id="354" w:name="_Toc296346630"/>
      <w:bookmarkStart w:id="355" w:name="_Toc160553114"/>
      <w:bookmarkStart w:id="356" w:name="_Toc337558821"/>
      <w:r>
        <w:rPr>
          <w:rFonts w:hint="eastAsia" w:ascii="宋体" w:hAnsi="宋体" w:eastAsia="宋体" w:cs="宋体"/>
          <w:b w:val="0"/>
          <w:color w:val="auto"/>
          <w:sz w:val="21"/>
          <w:szCs w:val="21"/>
        </w:rPr>
        <w:t>16.1 发</w:t>
      </w:r>
      <w:bookmarkEnd w:id="353"/>
      <w:bookmarkEnd w:id="354"/>
      <w:r>
        <w:rPr>
          <w:rFonts w:hint="eastAsia" w:ascii="宋体" w:hAnsi="宋体" w:eastAsia="宋体" w:cs="宋体"/>
          <w:b w:val="0"/>
          <w:color w:val="auto"/>
          <w:sz w:val="21"/>
          <w:szCs w:val="21"/>
        </w:rPr>
        <w:t>包人违约</w:t>
      </w:r>
      <w:bookmarkEnd w:id="355"/>
    </w:p>
    <w:bookmarkEnd w:id="356"/>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16.1.1 发包人违约的情形</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在合同履行过程中发生的下列情形，属于发包人违约：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（1）因发包人原因未能在计划开工日期前7天内下达开工通知的；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（7）发包人明确表示或者以其行为表明不履行合同主要义务的；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（8）发包人未能按照合同约定履行其他义务的。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16.1.2 发包人违约的责任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发包人应承担因其违约给承包人增加的费用和（或）延误的工期，并支付承包人合理的利润。此外，合同当事人可在专用合同条款中另行约定发包人违约责任的承担方式和计算方法。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16.1.3 因发包人违约解除合同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16.1.4 因发包人违约解除合同后的付款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承包人按照本款约定解除合同的，发包人应在解除合同后28天内支付下列款项，并解除履约担保：</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（1）合同解除前所完成工作的价款；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（2）承包人为工程施工订购并已付款的材料、工程设备和其他物品的价款；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（3）承包人撤离施工现场以及遣散承包人人员的款项；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（4）按照合同约定在合同解除前应支付的违约金；</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（5）按照合同约定应当支付给承包人的其他款项；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（6）按照合同约定应退还的质量保证金；</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（7）因解除合同给承包人造成的损失。</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合同当事人未能就解除合同后的结清达成一致的，按照第20条〔争议解决〕的约定处理。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承包人应妥善做好已完工程和与工程有关的已购材料、工程设备的保护和移交工作，并将施工设备和人员撤出施工现场，发包人应为承包人撤出提供必要条件。</w:t>
      </w:r>
    </w:p>
    <w:p>
      <w:pPr>
        <w:pStyle w:val="6"/>
        <w:spacing w:before="120" w:after="120" w:line="360" w:lineRule="auto"/>
        <w:ind w:firstLine="420" w:firstLineChars="200"/>
        <w:rPr>
          <w:rFonts w:hint="eastAsia" w:ascii="宋体" w:hAnsi="宋体" w:eastAsia="宋体" w:cs="宋体"/>
          <w:b w:val="0"/>
          <w:color w:val="auto"/>
          <w:sz w:val="21"/>
          <w:szCs w:val="21"/>
        </w:rPr>
      </w:pPr>
      <w:bookmarkStart w:id="357" w:name="_Toc160553115"/>
      <w:bookmarkStart w:id="358" w:name="_Toc296346632"/>
      <w:bookmarkStart w:id="359" w:name="_Toc296503131"/>
      <w:bookmarkStart w:id="360" w:name="_Toc337558822"/>
      <w:r>
        <w:rPr>
          <w:rFonts w:hint="eastAsia" w:ascii="宋体" w:hAnsi="宋体" w:eastAsia="宋体" w:cs="宋体"/>
          <w:b w:val="0"/>
          <w:color w:val="auto"/>
          <w:sz w:val="21"/>
          <w:szCs w:val="21"/>
        </w:rPr>
        <w:t>16.2 承包人违约</w:t>
      </w:r>
      <w:bookmarkEnd w:id="357"/>
    </w:p>
    <w:bookmarkEnd w:id="358"/>
    <w:bookmarkEnd w:id="359"/>
    <w:bookmarkEnd w:id="360"/>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16.2.1 承包人违约的情形</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在合同履行过程中发生的下列情形，属于承包人违约：</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（1）承包人违反合同约定进行转包或违法分包的；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（2）承包人违反合同约定采购和使用不合格的材料和工程设备的；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（3）因承包人原因导致工程质量不符合合同要求的；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（4）承包人违反第8.9款〔材料与设备专用要求〕的约定，未经批准，私自将已按照合同约定进入施工现场的材料或设备撤离施工现场的；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（5）承包人未能按施工进度计划及时完成合同约定的工作，造成工期延误的；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（6）承包人在缺陷责任期及保修期内，未能在合理期限对工程缺陷进行修复，或拒绝按发包人要求进行修复的；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（7）承包人明确表示或者以其行为表明不履行合同主要义务的；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（8）承包人未能按照合同约定履行其他义务的。</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承包人发生除本项第（7）目约定以外的其他违约情况时，监理人可向承包人发出整改通知，要求其在指定的期限内改正。</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16.2.2 承包人违约的责任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承包人应承担因其违约行为而增加的费用和（或）延误的工期。此外，合同当事人可在专用合同条款中另行约定承包人违约责任的承担方式和计算方法。</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16.2.3 因承包人违约解除合同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16.2.4因承包人违约解除合同后的处理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因承包人原因导致合同解除的，则合同当事人应在合同解除后28天内完成估价、付款和清算，并按以下约定执行：</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（1）合同解除后，按第4.4款〔商定或确定〕商定或确定承包人实际完成工作对应的合同价款，以及承包人已提供的材料、工程设备、施工设备和临时工程等的价值；</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（2）合同解除后，承包人应支付的违约金；</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（3）合同解除后，因解除合同给发包人造成的损失；</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（4）合同解除后，承包人应按照发包人要求和监理人的指示完成现场的清理和撤离；</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（5）发包人和承包人应在合同解除后进行清算，出具最终结清付款证书，结清全部款项。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因承包人违约解除合同的，发包人有权暂停对承包人的付款，查清各项付款和已扣款项。发包人和承包人未能就合同解除后的清算和款项支付达成一致的，按照第20条〔争议解决〕的约定处理。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16.2.5采购合同权益转让</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6"/>
        <w:spacing w:before="120" w:after="120" w:line="360" w:lineRule="auto"/>
        <w:ind w:firstLine="420" w:firstLineChars="200"/>
        <w:rPr>
          <w:rFonts w:hint="eastAsia" w:ascii="宋体" w:hAnsi="宋体" w:eastAsia="宋体" w:cs="宋体"/>
          <w:b w:val="0"/>
          <w:color w:val="auto"/>
          <w:sz w:val="21"/>
          <w:szCs w:val="21"/>
        </w:rPr>
      </w:pPr>
      <w:bookmarkStart w:id="361" w:name="_Toc160553116"/>
      <w:r>
        <w:rPr>
          <w:rFonts w:hint="eastAsia" w:ascii="宋体" w:hAnsi="宋体" w:eastAsia="宋体" w:cs="宋体"/>
          <w:b w:val="0"/>
          <w:color w:val="auto"/>
          <w:sz w:val="21"/>
          <w:szCs w:val="21"/>
        </w:rPr>
        <w:t>16.3 第三人造成的违约</w:t>
      </w:r>
      <w:bookmarkEnd w:id="361"/>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在履行合同过程中，一方当事人因第三人的原因造成违约的，应当向对方当事人承担违约责任。一方当事人和第三人之间的纠纷，依照法律规定或者按照约定解决。</w:t>
      </w:r>
    </w:p>
    <w:p>
      <w:pPr>
        <w:pStyle w:val="5"/>
        <w:spacing w:before="120" w:after="120" w:line="360" w:lineRule="auto"/>
        <w:rPr>
          <w:rFonts w:hint="eastAsia" w:ascii="宋体" w:hAnsi="宋体" w:eastAsia="宋体" w:cs="宋体"/>
          <w:b w:val="0"/>
          <w:color w:val="auto"/>
          <w:sz w:val="21"/>
          <w:szCs w:val="21"/>
        </w:rPr>
      </w:pPr>
      <w:bookmarkStart w:id="362" w:name="_Toc160553117"/>
      <w:bookmarkStart w:id="363" w:name="_Toc296503116"/>
      <w:bookmarkStart w:id="364" w:name="_Toc296346617"/>
      <w:bookmarkStart w:id="365" w:name="_Toc337558823"/>
      <w:r>
        <w:rPr>
          <w:rFonts w:hint="eastAsia" w:ascii="宋体" w:hAnsi="宋体" w:eastAsia="宋体" w:cs="宋体"/>
          <w:b w:val="0"/>
          <w:color w:val="auto"/>
          <w:sz w:val="21"/>
          <w:szCs w:val="21"/>
        </w:rPr>
        <w:t>17. 不可抗力</w:t>
      </w:r>
      <w:bookmarkEnd w:id="362"/>
      <w:r>
        <w:rPr>
          <w:rFonts w:hint="eastAsia" w:ascii="宋体" w:hAnsi="宋体" w:eastAsia="宋体" w:cs="宋体"/>
          <w:b w:val="0"/>
          <w:color w:val="auto"/>
          <w:sz w:val="21"/>
          <w:szCs w:val="21"/>
        </w:rPr>
        <w:t xml:space="preserve"> </w:t>
      </w:r>
      <w:bookmarkEnd w:id="363"/>
      <w:bookmarkEnd w:id="364"/>
      <w:bookmarkEnd w:id="365"/>
    </w:p>
    <w:p>
      <w:pPr>
        <w:pStyle w:val="6"/>
        <w:spacing w:before="120" w:after="120" w:line="360" w:lineRule="auto"/>
        <w:ind w:firstLine="420" w:firstLineChars="200"/>
        <w:rPr>
          <w:rFonts w:hint="eastAsia" w:ascii="宋体" w:hAnsi="宋体" w:eastAsia="宋体" w:cs="宋体"/>
          <w:b w:val="0"/>
          <w:color w:val="auto"/>
          <w:sz w:val="21"/>
          <w:szCs w:val="21"/>
        </w:rPr>
      </w:pPr>
      <w:bookmarkStart w:id="366" w:name="_Toc160553118"/>
      <w:bookmarkStart w:id="367" w:name="_Toc296346618"/>
      <w:bookmarkStart w:id="368" w:name="_Toc337558824"/>
      <w:bookmarkStart w:id="369" w:name="_Toc296503117"/>
      <w:r>
        <w:rPr>
          <w:rFonts w:hint="eastAsia" w:ascii="宋体" w:hAnsi="宋体" w:eastAsia="宋体" w:cs="宋体"/>
          <w:b w:val="0"/>
          <w:color w:val="auto"/>
          <w:sz w:val="21"/>
          <w:szCs w:val="21"/>
        </w:rPr>
        <w:t>17.1 不可抗力的确认</w:t>
      </w:r>
      <w:bookmarkEnd w:id="366"/>
    </w:p>
    <w:bookmarkEnd w:id="367"/>
    <w:bookmarkEnd w:id="368"/>
    <w:bookmarkEnd w:id="369"/>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不可抗力是指合同当事人在签订合同时不可预见，在合同履行过程中不可避免且不能克服的自然灾害和社会性突发事件，如地震、海啸、瘟疫、骚乱、戒严、暴动、战争和专用合同条款中约定的其他情形。</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6"/>
        <w:spacing w:before="120" w:after="120" w:line="360" w:lineRule="auto"/>
        <w:ind w:firstLine="420" w:firstLineChars="200"/>
        <w:rPr>
          <w:rFonts w:hint="eastAsia" w:ascii="宋体" w:hAnsi="宋体" w:eastAsia="宋体" w:cs="宋体"/>
          <w:b w:val="0"/>
          <w:color w:val="auto"/>
          <w:sz w:val="21"/>
          <w:szCs w:val="21"/>
        </w:rPr>
      </w:pPr>
      <w:bookmarkStart w:id="370" w:name="_Toc160553119"/>
      <w:bookmarkStart w:id="371" w:name="_Toc296503118"/>
      <w:bookmarkStart w:id="372" w:name="_Toc337558825"/>
      <w:bookmarkStart w:id="373" w:name="_Toc296346619"/>
      <w:r>
        <w:rPr>
          <w:rFonts w:hint="eastAsia" w:ascii="宋体" w:hAnsi="宋体" w:eastAsia="宋体" w:cs="宋体"/>
          <w:b w:val="0"/>
          <w:color w:val="auto"/>
          <w:sz w:val="21"/>
          <w:szCs w:val="21"/>
        </w:rPr>
        <w:t>17.2 不可抗力的通知</w:t>
      </w:r>
      <w:bookmarkEnd w:id="370"/>
    </w:p>
    <w:bookmarkEnd w:id="371"/>
    <w:bookmarkEnd w:id="372"/>
    <w:bookmarkEnd w:id="373"/>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合同一方当事人遇到不可抗力事件，使其履行合同义务受到阻碍时，应立即通知合同另一方当事人和监理人，书面说明不可抗力和受阻碍的详细情况，并提供必要的证明。</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不可抗力持续发生的，合同一方当事人应及时向合同另一方当事人和监理人提交中间报告，说明不可抗力和履行合同受阻的情况，并于不可抗力事件结束后28天内提交最终报告及有关资料。</w:t>
      </w:r>
    </w:p>
    <w:p>
      <w:pPr>
        <w:pStyle w:val="6"/>
        <w:spacing w:before="120" w:after="120" w:line="360" w:lineRule="auto"/>
        <w:ind w:firstLine="420" w:firstLineChars="200"/>
        <w:rPr>
          <w:rFonts w:hint="eastAsia" w:ascii="宋体" w:hAnsi="宋体" w:eastAsia="宋体" w:cs="宋体"/>
          <w:b w:val="0"/>
          <w:color w:val="auto"/>
          <w:sz w:val="21"/>
          <w:szCs w:val="21"/>
        </w:rPr>
      </w:pPr>
      <w:bookmarkStart w:id="374" w:name="_Toc160553120"/>
      <w:bookmarkStart w:id="375" w:name="_Toc296503119"/>
      <w:bookmarkStart w:id="376" w:name="_Toc296346620"/>
      <w:bookmarkStart w:id="377" w:name="_Toc337558826"/>
      <w:r>
        <w:rPr>
          <w:rFonts w:hint="eastAsia" w:ascii="宋体" w:hAnsi="宋体" w:eastAsia="宋体" w:cs="宋体"/>
          <w:b w:val="0"/>
          <w:color w:val="auto"/>
          <w:sz w:val="21"/>
          <w:szCs w:val="21"/>
        </w:rPr>
        <w:t>17.3 不可抗力后果的承担</w:t>
      </w:r>
      <w:bookmarkEnd w:id="374"/>
    </w:p>
    <w:bookmarkEnd w:id="375"/>
    <w:bookmarkEnd w:id="376"/>
    <w:bookmarkEnd w:id="377"/>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17.3.1 不可抗力引起的后果及造成的损失由合同当事人按照法律规定及合同约定各自承担。不可抗力发生前已完成的工程应当按照合同约定进行计量支付。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17.3.2 不可抗力导致的人员伤亡、财产损失、费用增加和（或）工期延误等后果，由合同当事人按以下原则承担：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（1）永久工程、已运至施工现场的材料和工程设备的损坏，以及因工程损坏造成的第三人人员伤亡和财产损失由发包人承担；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（2）承包人施工设备的损坏由承包人承担；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（3）发包人和承包人承担各自人员伤亡和财产的损失；</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（4）因不可抗力影响承包人履行合同约定的义务，已经引起或将引起工期延误的，应当顺延工期，由此导致承包人停工的费用损失由发包人和承包人合理分担，停工期间必须支付的工人工资由发包人承担；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（5）因不可抗力引起或将引起工期延误，发包人要求赶工的，由此增加的赶工费用由发包人承担；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（6）承包人在停工期间按照发包人要求照管、清理和修复工程的费用由发包人承担。</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因合同一方迟延履行合同义务，在迟延履行期间遭遇不可抗力的，不免除其违约责任。</w:t>
      </w:r>
    </w:p>
    <w:p>
      <w:pPr>
        <w:pStyle w:val="6"/>
        <w:spacing w:before="120" w:after="120" w:line="360" w:lineRule="auto"/>
        <w:ind w:firstLine="420" w:firstLineChars="200"/>
        <w:rPr>
          <w:rFonts w:hint="eastAsia" w:ascii="宋体" w:hAnsi="宋体" w:eastAsia="宋体" w:cs="宋体"/>
          <w:b w:val="0"/>
          <w:color w:val="auto"/>
          <w:sz w:val="21"/>
          <w:szCs w:val="21"/>
        </w:rPr>
      </w:pPr>
      <w:bookmarkStart w:id="378" w:name="_Toc160553121"/>
      <w:bookmarkStart w:id="379" w:name="_Toc337558827"/>
      <w:r>
        <w:rPr>
          <w:rFonts w:hint="eastAsia" w:ascii="宋体" w:hAnsi="宋体" w:eastAsia="宋体" w:cs="宋体"/>
          <w:b w:val="0"/>
          <w:color w:val="auto"/>
          <w:sz w:val="21"/>
          <w:szCs w:val="21"/>
        </w:rPr>
        <w:t>17.4 因不可抗力解除合同</w:t>
      </w:r>
      <w:bookmarkEnd w:id="378"/>
    </w:p>
    <w:bookmarkEnd w:id="379"/>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因不可抗力导致合同无法履行连续超过84天或累计超过140天的，发包人和承包人均有权解除合同。合同解除后，由双方当事人按照第4.4款〔商定或确定〕商定或确定发包人应支付的款项，该款项包括：</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（1）合同解除前承包人已完成工作的价款；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（2）承包人为工程订购的并已交付给承包人，或承包人有责任接受交付的材料、工程设备和其他物品的价款；</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（3）发包人要求承包人退货或解除订货合同而产生的费用，或因不能退货或解除合同而产生的损失；</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（4）承包人撤离施工现场以及遣散承包人人员的费用；</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（5）按照合同约定在合同解除前应支付给承包人的其他款项；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（6）扣减承包人按照合同约定应向发包人支付的款项；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（7）双方商定或确定的其他款项。</w:t>
      </w:r>
    </w:p>
    <w:p>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除专用合同条款另有约定外，合同解除后，发包人应在商定或确定上述款项后28天内完成上述款项的支付。</w:t>
      </w:r>
    </w:p>
    <w:p>
      <w:pPr>
        <w:pStyle w:val="5"/>
        <w:spacing w:before="120" w:after="120" w:line="360" w:lineRule="auto"/>
        <w:rPr>
          <w:rFonts w:hint="eastAsia" w:ascii="宋体" w:hAnsi="宋体" w:eastAsia="宋体" w:cs="宋体"/>
          <w:b w:val="0"/>
          <w:color w:val="auto"/>
          <w:sz w:val="21"/>
          <w:szCs w:val="21"/>
        </w:rPr>
      </w:pPr>
      <w:bookmarkStart w:id="380" w:name="_Toc160553122"/>
      <w:bookmarkStart w:id="381" w:name="_Toc296503120"/>
      <w:bookmarkStart w:id="382" w:name="_Toc296346621"/>
      <w:bookmarkStart w:id="383" w:name="_Toc337558828"/>
      <w:r>
        <w:rPr>
          <w:rFonts w:hint="eastAsia" w:ascii="宋体" w:hAnsi="宋体" w:eastAsia="宋体" w:cs="宋体"/>
          <w:b w:val="0"/>
          <w:color w:val="auto"/>
          <w:sz w:val="21"/>
          <w:szCs w:val="21"/>
        </w:rPr>
        <w:t>18. 保险</w:t>
      </w:r>
      <w:bookmarkEnd w:id="380"/>
    </w:p>
    <w:bookmarkEnd w:id="381"/>
    <w:bookmarkEnd w:id="382"/>
    <w:bookmarkEnd w:id="383"/>
    <w:p>
      <w:pPr>
        <w:pStyle w:val="6"/>
        <w:spacing w:before="120" w:after="120" w:line="360" w:lineRule="auto"/>
        <w:ind w:firstLine="420" w:firstLineChars="200"/>
        <w:rPr>
          <w:rFonts w:hint="eastAsia" w:ascii="宋体" w:hAnsi="宋体" w:eastAsia="宋体" w:cs="宋体"/>
          <w:b w:val="0"/>
          <w:color w:val="auto"/>
          <w:sz w:val="21"/>
          <w:szCs w:val="21"/>
        </w:rPr>
      </w:pPr>
      <w:bookmarkStart w:id="384" w:name="_Toc160553123"/>
      <w:bookmarkStart w:id="385" w:name="_Toc296503121"/>
      <w:bookmarkStart w:id="386" w:name="_Toc296346622"/>
      <w:bookmarkStart w:id="387" w:name="_Toc337558829"/>
      <w:r>
        <w:rPr>
          <w:rFonts w:hint="eastAsia" w:ascii="宋体" w:hAnsi="宋体" w:eastAsia="宋体" w:cs="宋体"/>
          <w:b w:val="0"/>
          <w:color w:val="auto"/>
          <w:sz w:val="21"/>
          <w:szCs w:val="21"/>
        </w:rPr>
        <w:t>18.1 工程保险</w:t>
      </w:r>
      <w:bookmarkEnd w:id="384"/>
    </w:p>
    <w:bookmarkEnd w:id="385"/>
    <w:bookmarkEnd w:id="386"/>
    <w:bookmarkEnd w:id="387"/>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除专用合同条款另有约定外，发包人应投保建筑工程一切险或安装工程一切险；发包人委托承包人投保的，因投保产生的保险费和其他相关费用由发包人承担。</w:t>
      </w:r>
    </w:p>
    <w:p>
      <w:pPr>
        <w:pStyle w:val="6"/>
        <w:spacing w:before="120" w:after="120" w:line="360" w:lineRule="auto"/>
        <w:ind w:firstLine="420" w:firstLineChars="200"/>
        <w:rPr>
          <w:rFonts w:hint="eastAsia" w:ascii="宋体" w:hAnsi="宋体" w:eastAsia="宋体" w:cs="宋体"/>
          <w:b w:val="0"/>
          <w:color w:val="auto"/>
          <w:sz w:val="21"/>
          <w:szCs w:val="21"/>
        </w:rPr>
      </w:pPr>
      <w:bookmarkStart w:id="388" w:name="_Toc160553124"/>
      <w:bookmarkStart w:id="389" w:name="_Toc296346623"/>
      <w:bookmarkStart w:id="390" w:name="_Toc337558830"/>
      <w:bookmarkStart w:id="391" w:name="_Toc296503122"/>
      <w:r>
        <w:rPr>
          <w:rFonts w:hint="eastAsia" w:ascii="宋体" w:hAnsi="宋体" w:eastAsia="宋体" w:cs="宋体"/>
          <w:b w:val="0"/>
          <w:color w:val="auto"/>
          <w:sz w:val="21"/>
          <w:szCs w:val="21"/>
        </w:rPr>
        <w:t>18.2 工伤保险</w:t>
      </w:r>
      <w:bookmarkEnd w:id="388"/>
    </w:p>
    <w:bookmarkEnd w:id="389"/>
    <w:bookmarkEnd w:id="390"/>
    <w:bookmarkEnd w:id="391"/>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18.2.1 发包人应依照法律规定参加工伤保险，并为在施工现场的全部员工办理工伤保险，缴纳工伤保险费，并要求监理人及由发包人为履行合同聘请的第三方依法参加工伤保险。</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18.2.2 承包人应依照法律规定参加工伤保险，并为其履行合同的全部员工办理工伤保险，缴纳工伤保险费，并要求分包人及由承包人为履行合同聘请的第三方依法参加工伤保险。</w:t>
      </w:r>
    </w:p>
    <w:p>
      <w:pPr>
        <w:pStyle w:val="6"/>
        <w:spacing w:before="120" w:after="120" w:line="360" w:lineRule="auto"/>
        <w:ind w:firstLine="420" w:firstLineChars="200"/>
        <w:rPr>
          <w:rFonts w:hint="eastAsia" w:ascii="宋体" w:hAnsi="宋体" w:eastAsia="宋体" w:cs="宋体"/>
          <w:b w:val="0"/>
          <w:color w:val="auto"/>
          <w:sz w:val="21"/>
          <w:szCs w:val="21"/>
        </w:rPr>
      </w:pPr>
      <w:bookmarkStart w:id="392" w:name="_Toc160553125"/>
      <w:bookmarkStart w:id="393" w:name="_Toc296346626"/>
      <w:bookmarkStart w:id="394" w:name="_Toc296503125"/>
      <w:bookmarkStart w:id="395" w:name="_Toc337558831"/>
      <w:r>
        <w:rPr>
          <w:rFonts w:hint="eastAsia" w:ascii="宋体" w:hAnsi="宋体" w:eastAsia="宋体" w:cs="宋体"/>
          <w:b w:val="0"/>
          <w:color w:val="auto"/>
          <w:sz w:val="21"/>
          <w:szCs w:val="21"/>
        </w:rPr>
        <w:t>18.3其他保险</w:t>
      </w:r>
      <w:bookmarkEnd w:id="392"/>
    </w:p>
    <w:bookmarkEnd w:id="393"/>
    <w:bookmarkEnd w:id="394"/>
    <w:bookmarkEnd w:id="395"/>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发包人和承包人可以为其施工现场的全部人员办理意外伤害保险并支付保险费，包括其员工及为履行合同聘请的第三方的人员，具体事项由合同当事人在专用合同条款约定。</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除专用合同条款另有约定外，承包人应为其施工设备等办理财产保险。</w:t>
      </w:r>
    </w:p>
    <w:p>
      <w:pPr>
        <w:pStyle w:val="6"/>
        <w:spacing w:before="120" w:after="120" w:line="360" w:lineRule="auto"/>
        <w:ind w:firstLine="420" w:firstLineChars="200"/>
        <w:rPr>
          <w:rFonts w:hint="eastAsia" w:ascii="宋体" w:hAnsi="宋体" w:eastAsia="宋体" w:cs="宋体"/>
          <w:b w:val="0"/>
          <w:color w:val="auto"/>
          <w:sz w:val="21"/>
          <w:szCs w:val="21"/>
        </w:rPr>
      </w:pPr>
      <w:bookmarkStart w:id="396" w:name="_Toc160553126"/>
      <w:r>
        <w:rPr>
          <w:rFonts w:hint="eastAsia" w:ascii="宋体" w:hAnsi="宋体" w:eastAsia="宋体" w:cs="宋体"/>
          <w:b w:val="0"/>
          <w:color w:val="auto"/>
          <w:sz w:val="21"/>
          <w:szCs w:val="21"/>
        </w:rPr>
        <w:t>18.4持续保险</w:t>
      </w:r>
      <w:bookmarkEnd w:id="396"/>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合同当事人应与保险人保持联系，使保险人能够随时了解工程实施中的变动，并确保按保险合同条款要求持续保险。</w:t>
      </w:r>
    </w:p>
    <w:p>
      <w:pPr>
        <w:pStyle w:val="6"/>
        <w:spacing w:before="120" w:after="120" w:line="360" w:lineRule="auto"/>
        <w:ind w:firstLine="420" w:firstLineChars="200"/>
        <w:rPr>
          <w:rFonts w:hint="eastAsia" w:ascii="宋体" w:hAnsi="宋体" w:eastAsia="宋体" w:cs="宋体"/>
          <w:b w:val="0"/>
          <w:color w:val="auto"/>
          <w:sz w:val="21"/>
          <w:szCs w:val="21"/>
        </w:rPr>
      </w:pPr>
      <w:bookmarkStart w:id="397" w:name="_Toc160553127"/>
      <w:bookmarkStart w:id="398" w:name="_Toc296503126"/>
      <w:bookmarkStart w:id="399" w:name="_Toc296346627"/>
      <w:bookmarkStart w:id="400" w:name="_Toc337558832"/>
      <w:r>
        <w:rPr>
          <w:rFonts w:hint="eastAsia" w:ascii="宋体" w:hAnsi="宋体" w:eastAsia="宋体" w:cs="宋体"/>
          <w:b w:val="0"/>
          <w:color w:val="auto"/>
          <w:sz w:val="21"/>
          <w:szCs w:val="21"/>
        </w:rPr>
        <w:t>18.5 保险凭证</w:t>
      </w:r>
      <w:bookmarkEnd w:id="397"/>
    </w:p>
    <w:bookmarkEnd w:id="398"/>
    <w:bookmarkEnd w:id="399"/>
    <w:bookmarkEnd w:id="400"/>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合同当事人应及时向另一方当事人提交其已投保的各项保险的凭证和保险单复印件。</w:t>
      </w:r>
    </w:p>
    <w:p>
      <w:pPr>
        <w:pStyle w:val="6"/>
        <w:spacing w:before="120" w:after="120" w:line="360" w:lineRule="auto"/>
        <w:ind w:firstLine="420" w:firstLineChars="200"/>
        <w:rPr>
          <w:rFonts w:hint="eastAsia" w:ascii="宋体" w:hAnsi="宋体" w:eastAsia="宋体" w:cs="宋体"/>
          <w:b w:val="0"/>
          <w:color w:val="auto"/>
          <w:sz w:val="21"/>
          <w:szCs w:val="21"/>
        </w:rPr>
      </w:pPr>
      <w:bookmarkStart w:id="401" w:name="_Toc160553128"/>
      <w:bookmarkStart w:id="402" w:name="_Toc337558833"/>
      <w:bookmarkStart w:id="403" w:name="_Toc296503127"/>
      <w:bookmarkStart w:id="404" w:name="_Toc296346628"/>
      <w:r>
        <w:rPr>
          <w:rFonts w:hint="eastAsia" w:ascii="宋体" w:hAnsi="宋体" w:eastAsia="宋体" w:cs="宋体"/>
          <w:b w:val="0"/>
          <w:color w:val="auto"/>
          <w:sz w:val="21"/>
          <w:szCs w:val="21"/>
        </w:rPr>
        <w:t>18.6 未按约定投保的补救</w:t>
      </w:r>
      <w:bookmarkEnd w:id="401"/>
    </w:p>
    <w:bookmarkEnd w:id="402"/>
    <w:bookmarkEnd w:id="403"/>
    <w:bookmarkEnd w:id="404"/>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18.6.1发包人未按合同约定办理保险，或未能使保险持续有效的，则承包人可代为办理，所需费用由发包人承担。发包人未按合同约定办理保险，导致未能得到足额赔偿的，由发包人负责补足。</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18.6.2承包人未按合同约定办理保险，或未能使保险持续有效的，则发包人可代为办理，所需费用由承包人承担。承包人未按合同约定办理保险，导致未能得到足额赔偿的，由承包人负责补足。</w:t>
      </w:r>
    </w:p>
    <w:p>
      <w:pPr>
        <w:pStyle w:val="6"/>
        <w:spacing w:before="120" w:after="120" w:line="360" w:lineRule="auto"/>
        <w:ind w:firstLine="420" w:firstLineChars="200"/>
        <w:rPr>
          <w:rFonts w:hint="eastAsia" w:ascii="宋体" w:hAnsi="宋体" w:eastAsia="宋体" w:cs="宋体"/>
          <w:b w:val="0"/>
          <w:color w:val="auto"/>
          <w:sz w:val="21"/>
          <w:szCs w:val="21"/>
        </w:rPr>
      </w:pPr>
      <w:bookmarkStart w:id="405" w:name="_Toc160553129"/>
      <w:bookmarkStart w:id="406" w:name="_Toc337558834"/>
      <w:r>
        <w:rPr>
          <w:rFonts w:hint="eastAsia" w:ascii="宋体" w:hAnsi="宋体" w:eastAsia="宋体" w:cs="宋体"/>
          <w:b w:val="0"/>
          <w:color w:val="auto"/>
          <w:sz w:val="21"/>
          <w:szCs w:val="21"/>
        </w:rPr>
        <w:t>18.7 通知义务</w:t>
      </w:r>
      <w:bookmarkEnd w:id="405"/>
    </w:p>
    <w:bookmarkEnd w:id="406"/>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除专用合同条款另有约定外，发包人变更除工伤保险之外的保险合同时，应事先征得承包人同意，并通知监理人；承包人变更除工伤保险之外的保险合同时，应事先征得发包人同意，并通知监理人。</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保险事故发生时，投保人应按照保险合同规定的条件和期限及时向保险人报告。发包人和承包人应当在知道保险事故发生后及时通知对方。</w:t>
      </w:r>
    </w:p>
    <w:p>
      <w:pPr>
        <w:pStyle w:val="5"/>
        <w:spacing w:before="120" w:after="120" w:line="360" w:lineRule="auto"/>
        <w:rPr>
          <w:rFonts w:hint="eastAsia" w:ascii="宋体" w:hAnsi="宋体" w:eastAsia="宋体" w:cs="宋体"/>
          <w:b w:val="0"/>
          <w:color w:val="auto"/>
          <w:sz w:val="21"/>
          <w:szCs w:val="21"/>
        </w:rPr>
      </w:pPr>
      <w:bookmarkStart w:id="407" w:name="_Toc160553130"/>
      <w:bookmarkStart w:id="408" w:name="_Toc337558835"/>
      <w:bookmarkStart w:id="409" w:name="_Toc296503140"/>
      <w:bookmarkStart w:id="410" w:name="_Toc296346641"/>
      <w:r>
        <w:rPr>
          <w:rFonts w:hint="eastAsia" w:ascii="宋体" w:hAnsi="宋体" w:eastAsia="宋体" w:cs="宋体"/>
          <w:b w:val="0"/>
          <w:color w:val="auto"/>
          <w:sz w:val="21"/>
          <w:szCs w:val="21"/>
        </w:rPr>
        <w:t>19. 索赔</w:t>
      </w:r>
      <w:bookmarkEnd w:id="407"/>
    </w:p>
    <w:bookmarkEnd w:id="408"/>
    <w:bookmarkEnd w:id="409"/>
    <w:bookmarkEnd w:id="410"/>
    <w:p>
      <w:pPr>
        <w:pStyle w:val="6"/>
        <w:spacing w:before="120" w:after="120" w:line="360" w:lineRule="auto"/>
        <w:ind w:firstLine="420" w:firstLineChars="200"/>
        <w:rPr>
          <w:rFonts w:hint="eastAsia" w:ascii="宋体" w:hAnsi="宋体" w:eastAsia="宋体" w:cs="宋体"/>
          <w:b w:val="0"/>
          <w:color w:val="auto"/>
          <w:sz w:val="21"/>
          <w:szCs w:val="21"/>
        </w:rPr>
      </w:pPr>
      <w:bookmarkStart w:id="411" w:name="_Toc160553131"/>
      <w:bookmarkStart w:id="412" w:name="_Toc296503141"/>
      <w:bookmarkStart w:id="413" w:name="_Toc296346642"/>
      <w:bookmarkStart w:id="414" w:name="_Toc337558836"/>
      <w:r>
        <w:rPr>
          <w:rFonts w:hint="eastAsia" w:ascii="宋体" w:hAnsi="宋体" w:eastAsia="宋体" w:cs="宋体"/>
          <w:b w:val="0"/>
          <w:color w:val="auto"/>
          <w:sz w:val="21"/>
          <w:szCs w:val="21"/>
        </w:rPr>
        <w:t>19.1承包人的索赔</w:t>
      </w:r>
      <w:bookmarkEnd w:id="411"/>
    </w:p>
    <w:bookmarkEnd w:id="412"/>
    <w:bookmarkEnd w:id="413"/>
    <w:bookmarkEnd w:id="414"/>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根据合同约定，承包人认为有权得到追加付款和（或）延长工期的，应按以下程序向发包人提出索赔：</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（3）索赔事件具有持续影响的，承包人应按合理时间间隔继续递交延续索赔通知，说明持续影响的实际情况和记录，列出累计的追加付款金额和（或）工期延长天数；</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（4）在索赔事件影响结束后28天内，承包人应向监理人递交最终索赔报告，说明最终要求索赔的追加付款金额和（或）延长的工期，并附必要的记录和证明材料。</w:t>
      </w:r>
    </w:p>
    <w:p>
      <w:pPr>
        <w:pStyle w:val="6"/>
        <w:spacing w:before="120" w:after="120" w:line="360" w:lineRule="auto"/>
        <w:ind w:firstLine="420" w:firstLineChars="200"/>
        <w:rPr>
          <w:rFonts w:hint="eastAsia" w:ascii="宋体" w:hAnsi="宋体" w:eastAsia="宋体" w:cs="宋体"/>
          <w:b w:val="0"/>
          <w:color w:val="auto"/>
          <w:sz w:val="21"/>
          <w:szCs w:val="21"/>
        </w:rPr>
      </w:pPr>
      <w:bookmarkStart w:id="415" w:name="_Toc160553132"/>
      <w:bookmarkStart w:id="416" w:name="_Toc296503142"/>
      <w:bookmarkStart w:id="417" w:name="_Toc337558837"/>
      <w:bookmarkStart w:id="418" w:name="_Toc296346643"/>
      <w:r>
        <w:rPr>
          <w:rFonts w:hint="eastAsia" w:ascii="宋体" w:hAnsi="宋体" w:eastAsia="宋体" w:cs="宋体"/>
          <w:b w:val="0"/>
          <w:color w:val="auto"/>
          <w:sz w:val="21"/>
          <w:szCs w:val="21"/>
        </w:rPr>
        <w:t>19.2 对承包人索赔的处理</w:t>
      </w:r>
      <w:bookmarkEnd w:id="415"/>
    </w:p>
    <w:bookmarkEnd w:id="416"/>
    <w:bookmarkEnd w:id="417"/>
    <w:bookmarkEnd w:id="418"/>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对承包人索赔的处理如下：</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（1）监理人应在收到索赔报告后14天内完成审查并报送发包人。监理人对索赔报告存在异议的，有权要求承包人提交全部原始记录副本；</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（2）发包人应在监理人收到索赔报告或有关索赔的进一步证明材料后的28天内，由监理人向承包人出具经发包人签认的索赔处理结果。发包人逾期答复的，则视为认可承包人的索赔要求；</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（3）承包人接受索赔处理结果的，索赔款项在当期进度款中进行支付；承包人不接受索赔处理结果的，按照第20条〔争议解决〕约定处理。</w:t>
      </w:r>
    </w:p>
    <w:p>
      <w:pPr>
        <w:pStyle w:val="6"/>
        <w:spacing w:before="120" w:after="120" w:line="360" w:lineRule="auto"/>
        <w:ind w:firstLine="420" w:firstLineChars="200"/>
        <w:rPr>
          <w:rFonts w:hint="eastAsia" w:ascii="宋体" w:hAnsi="宋体" w:eastAsia="宋体" w:cs="宋体"/>
          <w:b w:val="0"/>
          <w:color w:val="auto"/>
          <w:sz w:val="21"/>
          <w:szCs w:val="21"/>
        </w:rPr>
      </w:pPr>
      <w:bookmarkStart w:id="419" w:name="_Toc160553133"/>
      <w:bookmarkStart w:id="420" w:name="_Toc337558838"/>
      <w:bookmarkStart w:id="421" w:name="_Toc296346644"/>
      <w:bookmarkStart w:id="422" w:name="_Toc296503143"/>
      <w:r>
        <w:rPr>
          <w:rFonts w:hint="eastAsia" w:ascii="宋体" w:hAnsi="宋体" w:eastAsia="宋体" w:cs="宋体"/>
          <w:b w:val="0"/>
          <w:color w:val="auto"/>
          <w:sz w:val="21"/>
          <w:szCs w:val="21"/>
        </w:rPr>
        <w:t>19.3发包人的索赔</w:t>
      </w:r>
      <w:bookmarkEnd w:id="419"/>
    </w:p>
    <w:bookmarkEnd w:id="420"/>
    <w:bookmarkEnd w:id="421"/>
    <w:bookmarkEnd w:id="422"/>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根据合同约定，发包人认为有权得到赔付金额和（或）延长缺陷责任期的，监理人应向承包人发出通知并附有详细的证明。</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6"/>
        <w:spacing w:before="120" w:after="120" w:line="360" w:lineRule="auto"/>
        <w:ind w:firstLine="420" w:firstLineChars="200"/>
        <w:rPr>
          <w:rFonts w:hint="eastAsia" w:ascii="宋体" w:hAnsi="宋体" w:eastAsia="宋体" w:cs="宋体"/>
          <w:b w:val="0"/>
          <w:color w:val="auto"/>
          <w:sz w:val="21"/>
          <w:szCs w:val="21"/>
        </w:rPr>
      </w:pPr>
      <w:bookmarkStart w:id="423" w:name="_Toc160553134"/>
      <w:bookmarkStart w:id="424" w:name="_Toc296346645"/>
      <w:bookmarkStart w:id="425" w:name="_Toc337558839"/>
      <w:bookmarkStart w:id="426" w:name="_Toc296503144"/>
      <w:r>
        <w:rPr>
          <w:rFonts w:hint="eastAsia" w:ascii="宋体" w:hAnsi="宋体" w:eastAsia="宋体" w:cs="宋体"/>
          <w:b w:val="0"/>
          <w:color w:val="auto"/>
          <w:sz w:val="21"/>
          <w:szCs w:val="21"/>
        </w:rPr>
        <w:t>19.4 对发包人索赔的处理</w:t>
      </w:r>
      <w:bookmarkEnd w:id="423"/>
    </w:p>
    <w:bookmarkEnd w:id="424"/>
    <w:bookmarkEnd w:id="425"/>
    <w:bookmarkEnd w:id="426"/>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对发包人索赔的处理如下：</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（1）承包人收到发包人提交的索赔报告后，应及时审查索赔报告的内容、查验发包人证明材料；</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（2）承包人应在收到索赔报告或有关索赔的进一步证明材料后28天内，将索赔处理结果答复发包人。如果承包人未在上述期限内作出答复的，则视为对发包人索赔要求的认可；</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（3）承包人接受索赔处理结果的，发包人可从应支付给承包人的合同价款中扣除赔付的金额或延长缺陷责任期；发包人不接受索赔处理结果的，按第20条〔争议解决〕约定处理。</w:t>
      </w:r>
    </w:p>
    <w:p>
      <w:pPr>
        <w:pStyle w:val="6"/>
        <w:spacing w:before="120" w:after="120" w:line="360" w:lineRule="auto"/>
        <w:ind w:firstLine="420" w:firstLineChars="200"/>
        <w:rPr>
          <w:rFonts w:hint="eastAsia" w:ascii="宋体" w:hAnsi="宋体" w:eastAsia="宋体" w:cs="宋体"/>
          <w:b w:val="0"/>
          <w:color w:val="auto"/>
          <w:sz w:val="21"/>
          <w:szCs w:val="21"/>
        </w:rPr>
      </w:pPr>
      <w:bookmarkStart w:id="427" w:name="_Toc160553135"/>
      <w:r>
        <w:rPr>
          <w:rFonts w:hint="eastAsia" w:ascii="宋体" w:hAnsi="宋体" w:eastAsia="宋体" w:cs="宋体"/>
          <w:b w:val="0"/>
          <w:color w:val="auto"/>
          <w:sz w:val="21"/>
          <w:szCs w:val="21"/>
        </w:rPr>
        <w:t>19.5 提出索赔的期限</w:t>
      </w:r>
      <w:bookmarkEnd w:id="427"/>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（1）承包人按第14.2款〔竣工结算审核〕约定接收竣工付款证书后，应被视为已无权再提出在工程接收证书颁发前所发生的任何索赔。</w:t>
      </w:r>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（2）承包人按第14.4款〔最终结清〕提交的最终结清申请单中，只限于提出工程接收证书颁发后发生的索赔。提出索赔的期限自接受最终结清证书时终止。</w:t>
      </w:r>
    </w:p>
    <w:p>
      <w:pPr>
        <w:pStyle w:val="5"/>
        <w:spacing w:before="120" w:after="120" w:line="360" w:lineRule="auto"/>
        <w:rPr>
          <w:rFonts w:hint="eastAsia" w:ascii="宋体" w:hAnsi="宋体" w:eastAsia="宋体" w:cs="宋体"/>
          <w:b w:val="0"/>
          <w:color w:val="auto"/>
          <w:sz w:val="21"/>
          <w:szCs w:val="21"/>
        </w:rPr>
      </w:pPr>
      <w:bookmarkStart w:id="428" w:name="_Toc160553136"/>
      <w:r>
        <w:rPr>
          <w:rFonts w:hint="eastAsia" w:ascii="宋体" w:hAnsi="宋体" w:eastAsia="宋体" w:cs="宋体"/>
          <w:b w:val="0"/>
          <w:color w:val="auto"/>
          <w:sz w:val="21"/>
          <w:szCs w:val="21"/>
        </w:rPr>
        <w:t>20</w:t>
      </w:r>
      <w:bookmarkStart w:id="429" w:name="_Toc296503146"/>
      <w:bookmarkStart w:id="430" w:name="_Toc296346647"/>
      <w:bookmarkStart w:id="431" w:name="_Toc337558840"/>
      <w:r>
        <w:rPr>
          <w:rFonts w:hint="eastAsia" w:ascii="宋体" w:hAnsi="宋体" w:eastAsia="宋体" w:cs="宋体"/>
          <w:b w:val="0"/>
          <w:color w:val="auto"/>
          <w:sz w:val="21"/>
          <w:szCs w:val="21"/>
        </w:rPr>
        <w:t>. 争议解决</w:t>
      </w:r>
      <w:bookmarkEnd w:id="428"/>
    </w:p>
    <w:bookmarkEnd w:id="429"/>
    <w:bookmarkEnd w:id="430"/>
    <w:bookmarkEnd w:id="431"/>
    <w:p>
      <w:pPr>
        <w:pStyle w:val="6"/>
        <w:spacing w:before="120" w:after="120" w:line="360" w:lineRule="auto"/>
        <w:ind w:firstLine="420" w:firstLineChars="200"/>
        <w:rPr>
          <w:rFonts w:hint="eastAsia" w:ascii="宋体" w:hAnsi="宋体" w:eastAsia="宋体" w:cs="宋体"/>
          <w:b w:val="0"/>
          <w:color w:val="auto"/>
          <w:sz w:val="21"/>
          <w:szCs w:val="21"/>
        </w:rPr>
      </w:pPr>
      <w:bookmarkStart w:id="432" w:name="_Toc160553137"/>
      <w:bookmarkStart w:id="433" w:name="_Toc296503147"/>
      <w:bookmarkStart w:id="434" w:name="_Toc296346648"/>
      <w:bookmarkStart w:id="435" w:name="_Toc337558841"/>
      <w:r>
        <w:rPr>
          <w:rFonts w:hint="eastAsia" w:ascii="宋体" w:hAnsi="宋体" w:eastAsia="宋体" w:cs="宋体"/>
          <w:b w:val="0"/>
          <w:color w:val="auto"/>
          <w:sz w:val="21"/>
          <w:szCs w:val="21"/>
        </w:rPr>
        <w:t>20.1和解</w:t>
      </w:r>
      <w:bookmarkEnd w:id="432"/>
    </w:p>
    <w:bookmarkEnd w:id="433"/>
    <w:bookmarkEnd w:id="434"/>
    <w:bookmarkEnd w:id="435"/>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合同当事人可以就争议自行和解，自行和解达成协议的经双方签字并盖章后作为合同补充文件，双方均应遵照执行。</w:t>
      </w:r>
    </w:p>
    <w:p>
      <w:pPr>
        <w:pStyle w:val="6"/>
        <w:spacing w:before="120" w:after="120" w:line="360" w:lineRule="auto"/>
        <w:ind w:firstLine="420" w:firstLineChars="200"/>
        <w:rPr>
          <w:rFonts w:hint="eastAsia" w:ascii="宋体" w:hAnsi="宋体" w:eastAsia="宋体" w:cs="宋体"/>
          <w:b w:val="0"/>
          <w:color w:val="auto"/>
          <w:sz w:val="21"/>
          <w:szCs w:val="21"/>
        </w:rPr>
      </w:pPr>
      <w:bookmarkStart w:id="436" w:name="_Toc160553138"/>
      <w:r>
        <w:rPr>
          <w:rFonts w:hint="eastAsia" w:ascii="宋体" w:hAnsi="宋体" w:eastAsia="宋体" w:cs="宋体"/>
          <w:b w:val="0"/>
          <w:color w:val="auto"/>
          <w:sz w:val="21"/>
          <w:szCs w:val="21"/>
        </w:rPr>
        <w:t>20</w:t>
      </w:r>
      <w:bookmarkStart w:id="437" w:name="_Toc296503148"/>
      <w:bookmarkStart w:id="438" w:name="_Toc296346649"/>
      <w:bookmarkStart w:id="439" w:name="_Toc337558842"/>
      <w:r>
        <w:rPr>
          <w:rFonts w:hint="eastAsia" w:ascii="宋体" w:hAnsi="宋体" w:eastAsia="宋体" w:cs="宋体"/>
          <w:b w:val="0"/>
          <w:color w:val="auto"/>
          <w:sz w:val="21"/>
          <w:szCs w:val="21"/>
        </w:rPr>
        <w:t>.2调解</w:t>
      </w:r>
      <w:bookmarkEnd w:id="436"/>
    </w:p>
    <w:bookmarkEnd w:id="437"/>
    <w:bookmarkEnd w:id="438"/>
    <w:bookmarkEnd w:id="439"/>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合同当事人可以就争议请求建设行政主管部门、行业协会或其他第三方进行调解，调解达成协议的，经双方签字并盖章后作为合同补充文件，双方均应遵照执行。</w:t>
      </w:r>
    </w:p>
    <w:p>
      <w:pPr>
        <w:pStyle w:val="6"/>
        <w:spacing w:before="120" w:after="120" w:line="360" w:lineRule="auto"/>
        <w:ind w:firstLine="420" w:firstLineChars="200"/>
        <w:rPr>
          <w:rFonts w:hint="eastAsia" w:ascii="宋体" w:hAnsi="宋体" w:eastAsia="宋体" w:cs="宋体"/>
          <w:b w:val="0"/>
          <w:color w:val="auto"/>
          <w:sz w:val="21"/>
          <w:szCs w:val="21"/>
        </w:rPr>
      </w:pPr>
      <w:bookmarkStart w:id="440" w:name="_Toc160553139"/>
      <w:bookmarkStart w:id="441" w:name="_Toc296346650"/>
      <w:bookmarkStart w:id="442" w:name="_Toc296503149"/>
      <w:bookmarkStart w:id="443" w:name="_Toc337558843"/>
      <w:r>
        <w:rPr>
          <w:rFonts w:hint="eastAsia" w:ascii="宋体" w:hAnsi="宋体" w:eastAsia="宋体" w:cs="宋体"/>
          <w:b w:val="0"/>
          <w:color w:val="auto"/>
          <w:sz w:val="21"/>
          <w:szCs w:val="21"/>
        </w:rPr>
        <w:t>20.3争议评审</w:t>
      </w:r>
      <w:bookmarkEnd w:id="440"/>
    </w:p>
    <w:bookmarkEnd w:id="441"/>
    <w:bookmarkEnd w:id="442"/>
    <w:bookmarkEnd w:id="443"/>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合同当事人在专用合同条款中约定采取争议评审方式解决争议以及评审规则，并按下列约定执行：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20.3.1 争议评审小组的确定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合同当事人可以共同选择一名或三名争议评审员，组成争议评审小组。除专用合同条款另有约定外，合同当事人应当自合同签订后28天内，或者争议发生后14天内，选定争议评审员。</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除专用合同条款另有约定外，评审员报酬由发包人和承包人各承担一半。</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20.3.2 争议评审小组的决定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20.3.3 争议评审小组决定的效力</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争议评审小组作出的书面决定经合同当事人签字确认后，对双方具有约束力，双方应遵照执行。</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任何一方当事人不接受争议评审小组决定或不履行争议评审小组决定的，双方可选择采用其他争议解决方式。</w:t>
      </w:r>
    </w:p>
    <w:p>
      <w:pPr>
        <w:pStyle w:val="6"/>
        <w:spacing w:before="120" w:after="120" w:line="360" w:lineRule="auto"/>
        <w:ind w:firstLine="420" w:firstLineChars="200"/>
        <w:rPr>
          <w:rFonts w:hint="eastAsia" w:ascii="宋体" w:hAnsi="宋体" w:eastAsia="宋体" w:cs="宋体"/>
          <w:b w:val="0"/>
          <w:color w:val="auto"/>
          <w:sz w:val="21"/>
          <w:szCs w:val="21"/>
        </w:rPr>
      </w:pPr>
      <w:bookmarkStart w:id="444" w:name="_Toc160553140"/>
      <w:bookmarkStart w:id="445" w:name="_Toc296503150"/>
      <w:bookmarkStart w:id="446" w:name="_Toc337558844"/>
      <w:bookmarkStart w:id="447" w:name="_Toc296346651"/>
      <w:r>
        <w:rPr>
          <w:rFonts w:hint="eastAsia" w:ascii="宋体" w:hAnsi="宋体" w:eastAsia="宋体" w:cs="宋体"/>
          <w:b w:val="0"/>
          <w:color w:val="auto"/>
          <w:sz w:val="21"/>
          <w:szCs w:val="21"/>
        </w:rPr>
        <w:t>20.4仲裁或诉讼</w:t>
      </w:r>
      <w:bookmarkEnd w:id="444"/>
    </w:p>
    <w:bookmarkEnd w:id="445"/>
    <w:bookmarkEnd w:id="446"/>
    <w:bookmarkEnd w:id="447"/>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因合同及合同有关事项产生的争议，合同当事人可以在专用合同条款中约定以下一种方式解决争议：</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（1）向约定的仲裁委员会申请仲裁；</w:t>
      </w:r>
    </w:p>
    <w:p>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（2）向有管辖权的人民法院起诉。</w:t>
      </w:r>
    </w:p>
    <w:p>
      <w:pPr>
        <w:pStyle w:val="6"/>
        <w:spacing w:before="120" w:after="120" w:line="360" w:lineRule="auto"/>
        <w:ind w:firstLine="420" w:firstLineChars="200"/>
        <w:rPr>
          <w:rFonts w:hint="eastAsia" w:ascii="宋体" w:hAnsi="宋体" w:eastAsia="宋体" w:cs="宋体"/>
          <w:b w:val="0"/>
          <w:color w:val="auto"/>
          <w:sz w:val="21"/>
          <w:szCs w:val="21"/>
        </w:rPr>
      </w:pPr>
      <w:bookmarkStart w:id="448" w:name="_Toc160553141"/>
      <w:bookmarkStart w:id="449" w:name="_Toc296503152"/>
      <w:bookmarkStart w:id="450" w:name="_Toc337558845"/>
      <w:bookmarkStart w:id="451" w:name="_Toc296346653"/>
      <w:r>
        <w:rPr>
          <w:rFonts w:hint="eastAsia" w:ascii="宋体" w:hAnsi="宋体" w:eastAsia="宋体" w:cs="宋体"/>
          <w:b w:val="0"/>
          <w:color w:val="auto"/>
          <w:sz w:val="21"/>
          <w:szCs w:val="21"/>
        </w:rPr>
        <w:t>20.5争议解决条款效力</w:t>
      </w:r>
      <w:bookmarkEnd w:id="448"/>
    </w:p>
    <w:bookmarkEnd w:id="449"/>
    <w:bookmarkEnd w:id="450"/>
    <w:bookmarkEnd w:id="451"/>
    <w:p>
      <w:pPr>
        <w:autoSpaceDE w:val="0"/>
        <w:autoSpaceDN w:val="0"/>
        <w:adjustRightInd w:val="0"/>
        <w:spacing w:line="360" w:lineRule="auto"/>
        <w:ind w:firstLine="420" w:firstLineChars="200"/>
        <w:jc w:val="left"/>
        <w:rPr>
          <w:rFonts w:ascii="宋体" w:hAnsi="宋体"/>
          <w:color w:val="auto"/>
          <w:kern w:val="0"/>
          <w:sz w:val="24"/>
          <w:szCs w:val="24"/>
        </w:rPr>
      </w:pPr>
      <w:r>
        <w:rPr>
          <w:rFonts w:hint="eastAsia" w:ascii="宋体" w:hAnsi="宋体" w:eastAsia="宋体" w:cs="宋体"/>
          <w:color w:val="auto"/>
          <w:kern w:val="0"/>
          <w:sz w:val="21"/>
          <w:szCs w:val="21"/>
        </w:rPr>
        <w:t>合同有关争议解决的条款独立存在，合同的变更、解除、终止、无效或者被撤销均不影响其效力。</w:t>
      </w:r>
      <w:r>
        <w:rPr>
          <w:rFonts w:ascii="宋体" w:hAnsi="宋体"/>
          <w:color w:val="auto"/>
          <w:kern w:val="0"/>
          <w:sz w:val="24"/>
          <w:szCs w:val="24"/>
        </w:rPr>
        <w:t xml:space="preserve"> </w:t>
      </w:r>
    </w:p>
    <w:p>
      <w:pPr>
        <w:pStyle w:val="4"/>
        <w:jc w:val="center"/>
        <w:rPr>
          <w:rFonts w:ascii="宋体" w:hAnsi="宋体"/>
          <w:color w:val="auto"/>
          <w:sz w:val="36"/>
          <w:szCs w:val="36"/>
        </w:rPr>
      </w:pPr>
      <w:r>
        <w:rPr>
          <w:rFonts w:ascii="宋体" w:hAnsi="宋体"/>
          <w:color w:val="auto"/>
          <w:sz w:val="24"/>
          <w:szCs w:val="24"/>
        </w:rPr>
        <w:br w:type="page"/>
      </w:r>
      <w:bookmarkStart w:id="452" w:name="_Toc160553142"/>
      <w:r>
        <w:rPr>
          <w:rFonts w:ascii="宋体" w:hAnsi="宋体"/>
          <w:color w:val="auto"/>
          <w:sz w:val="36"/>
          <w:szCs w:val="36"/>
        </w:rPr>
        <w:t xml:space="preserve">第三部分 </w:t>
      </w:r>
      <w:r>
        <w:rPr>
          <w:rFonts w:hint="eastAsia" w:ascii="宋体" w:hAnsi="宋体"/>
          <w:color w:val="auto"/>
          <w:sz w:val="36"/>
          <w:szCs w:val="36"/>
        </w:rPr>
        <w:t>专用合同条款</w:t>
      </w:r>
      <w:bookmarkEnd w:id="452"/>
    </w:p>
    <w:p>
      <w:pPr>
        <w:pStyle w:val="5"/>
        <w:spacing w:before="120" w:after="120" w:line="360" w:lineRule="auto"/>
        <w:rPr>
          <w:rFonts w:hint="eastAsia" w:ascii="宋体" w:hAnsi="宋体" w:eastAsia="宋体" w:cs="宋体"/>
          <w:b w:val="0"/>
          <w:color w:val="auto"/>
          <w:sz w:val="21"/>
          <w:szCs w:val="21"/>
        </w:rPr>
      </w:pPr>
      <w:bookmarkStart w:id="453" w:name="_Toc160553143"/>
      <w:r>
        <w:rPr>
          <w:rFonts w:hint="eastAsia" w:ascii="宋体" w:hAnsi="宋体" w:eastAsia="宋体" w:cs="宋体"/>
          <w:b w:val="0"/>
          <w:color w:val="auto"/>
          <w:sz w:val="21"/>
          <w:szCs w:val="21"/>
        </w:rPr>
        <w:t>1</w:t>
      </w:r>
      <w:bookmarkStart w:id="454" w:name="_Toc297120456"/>
      <w:bookmarkStart w:id="455" w:name="_Toc296890984"/>
      <w:bookmarkStart w:id="456" w:name="_Toc296944495"/>
      <w:bookmarkStart w:id="457" w:name="_Toc292559866"/>
      <w:bookmarkStart w:id="458" w:name="_Toc292559361"/>
      <w:bookmarkStart w:id="459" w:name="_Toc296891196"/>
      <w:bookmarkStart w:id="460" w:name="_Toc296346657"/>
      <w:bookmarkStart w:id="461" w:name="_Toc297048342"/>
      <w:bookmarkStart w:id="462" w:name="_Toc296347155"/>
      <w:bookmarkStart w:id="463" w:name="_Toc296503156"/>
      <w:r>
        <w:rPr>
          <w:rFonts w:hint="eastAsia" w:ascii="宋体" w:hAnsi="宋体" w:eastAsia="宋体" w:cs="宋体"/>
          <w:b w:val="0"/>
          <w:color w:val="auto"/>
          <w:sz w:val="21"/>
          <w:szCs w:val="21"/>
        </w:rPr>
        <w:t>. 一般约定</w:t>
      </w:r>
      <w:bookmarkEnd w:id="453"/>
    </w:p>
    <w:bookmarkEnd w:id="454"/>
    <w:bookmarkEnd w:id="455"/>
    <w:bookmarkEnd w:id="456"/>
    <w:bookmarkEnd w:id="457"/>
    <w:bookmarkEnd w:id="458"/>
    <w:bookmarkEnd w:id="459"/>
    <w:bookmarkEnd w:id="460"/>
    <w:bookmarkEnd w:id="461"/>
    <w:bookmarkEnd w:id="462"/>
    <w:bookmarkEnd w:id="463"/>
    <w:p>
      <w:pPr>
        <w:spacing w:after="120" w:line="360" w:lineRule="auto"/>
        <w:ind w:firstLine="420" w:firstLineChars="200"/>
        <w:outlineLvl w:val="0"/>
        <w:rPr>
          <w:rFonts w:hint="eastAsia" w:ascii="宋体" w:hAnsi="宋体" w:eastAsia="宋体" w:cs="宋体"/>
          <w:color w:val="auto"/>
          <w:sz w:val="21"/>
          <w:szCs w:val="21"/>
        </w:rPr>
      </w:pPr>
      <w:bookmarkStart w:id="464" w:name="_Toc160553144"/>
      <w:r>
        <w:rPr>
          <w:rFonts w:hint="eastAsia" w:ascii="宋体" w:hAnsi="宋体" w:eastAsia="宋体" w:cs="宋体"/>
          <w:color w:val="auto"/>
          <w:sz w:val="21"/>
          <w:szCs w:val="21"/>
        </w:rPr>
        <w:t>1.1 词语定义</w:t>
      </w:r>
      <w:bookmarkEnd w:id="464"/>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1.1.1合同</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sz w:val="21"/>
          <w:szCs w:val="21"/>
          <w:u w:val="single"/>
        </w:rPr>
        <w:t></w:t>
      </w:r>
      <w:r>
        <w:rPr>
          <w:rFonts w:hint="eastAsia" w:ascii="宋体" w:hAnsi="宋体" w:eastAsia="宋体" w:cs="宋体"/>
          <w:b/>
          <w:color w:val="auto"/>
          <w:sz w:val="21"/>
          <w:szCs w:val="21"/>
          <w:u w:val="single"/>
        </w:rPr>
        <w:t>招标文件及招标答疑纪要；询标记要及承包人在招标过程中的有关承诺；施工组织设计：施工组织</w:t>
      </w:r>
      <w:r>
        <w:rPr>
          <w:rFonts w:hint="eastAsia" w:ascii="宋体" w:hAnsi="宋体" w:eastAsia="宋体" w:cs="宋体"/>
          <w:b/>
          <w:color w:val="auto"/>
          <w:sz w:val="21"/>
          <w:szCs w:val="21"/>
          <w:u w:val="single"/>
        </w:rPr>
        <w:fldChar w:fldCharType="begin"/>
      </w:r>
      <w:r>
        <w:rPr>
          <w:rFonts w:hint="eastAsia" w:ascii="宋体" w:hAnsi="宋体" w:eastAsia="宋体" w:cs="宋体"/>
          <w:b/>
          <w:color w:val="auto"/>
          <w:sz w:val="21"/>
          <w:szCs w:val="21"/>
          <w:u w:val="single"/>
        </w:rPr>
        <w:instrText xml:space="preserve"> HYPERLINK "http://baike.baidu.com/view/14417.htm" \t "_blank" </w:instrText>
      </w:r>
      <w:r>
        <w:rPr>
          <w:rFonts w:hint="eastAsia" w:ascii="宋体" w:hAnsi="宋体" w:eastAsia="宋体" w:cs="宋体"/>
          <w:b/>
          <w:color w:val="auto"/>
          <w:sz w:val="21"/>
          <w:szCs w:val="21"/>
          <w:u w:val="single"/>
        </w:rPr>
        <w:fldChar w:fldCharType="separate"/>
      </w:r>
      <w:r>
        <w:rPr>
          <w:rFonts w:hint="eastAsia" w:ascii="宋体" w:hAnsi="宋体" w:eastAsia="宋体" w:cs="宋体"/>
          <w:color w:val="auto"/>
          <w:sz w:val="21"/>
          <w:szCs w:val="21"/>
          <w:u w:val="single"/>
        </w:rPr>
        <w:t>设计</w:t>
      </w:r>
      <w:r>
        <w:rPr>
          <w:rFonts w:hint="eastAsia" w:ascii="宋体" w:hAnsi="宋体" w:eastAsia="宋体" w:cs="宋体"/>
          <w:b/>
          <w:color w:val="auto"/>
          <w:sz w:val="21"/>
          <w:szCs w:val="21"/>
          <w:u w:val="single"/>
        </w:rPr>
        <w:fldChar w:fldCharType="end"/>
      </w:r>
      <w:r>
        <w:rPr>
          <w:rFonts w:hint="eastAsia" w:ascii="宋体" w:hAnsi="宋体" w:eastAsia="宋体" w:cs="宋体"/>
          <w:b/>
          <w:color w:val="auto"/>
          <w:sz w:val="21"/>
          <w:szCs w:val="21"/>
          <w:u w:val="single"/>
        </w:rPr>
        <w:t>是用来指导</w:t>
      </w:r>
      <w:r>
        <w:rPr>
          <w:rFonts w:hint="eastAsia" w:ascii="宋体" w:hAnsi="宋体" w:eastAsia="宋体" w:cs="宋体"/>
          <w:b/>
          <w:color w:val="auto"/>
          <w:sz w:val="21"/>
          <w:szCs w:val="21"/>
          <w:u w:val="single"/>
        </w:rPr>
        <w:fldChar w:fldCharType="begin"/>
      </w:r>
      <w:r>
        <w:rPr>
          <w:rFonts w:hint="eastAsia" w:ascii="宋体" w:hAnsi="宋体" w:eastAsia="宋体" w:cs="宋体"/>
          <w:b/>
          <w:color w:val="auto"/>
          <w:sz w:val="21"/>
          <w:szCs w:val="21"/>
          <w:u w:val="single"/>
        </w:rPr>
        <w:instrText xml:space="preserve"> HYPERLINK "http://baike.baidu.com/view/1094820.htm" \t "_blank" </w:instrText>
      </w:r>
      <w:r>
        <w:rPr>
          <w:rFonts w:hint="eastAsia" w:ascii="宋体" w:hAnsi="宋体" w:eastAsia="宋体" w:cs="宋体"/>
          <w:b/>
          <w:color w:val="auto"/>
          <w:sz w:val="21"/>
          <w:szCs w:val="21"/>
          <w:u w:val="single"/>
        </w:rPr>
        <w:fldChar w:fldCharType="separate"/>
      </w:r>
      <w:r>
        <w:rPr>
          <w:rFonts w:hint="eastAsia" w:ascii="宋体" w:hAnsi="宋体" w:eastAsia="宋体" w:cs="宋体"/>
          <w:color w:val="auto"/>
          <w:sz w:val="21"/>
          <w:szCs w:val="21"/>
          <w:u w:val="single"/>
        </w:rPr>
        <w:t>施工项目</w:t>
      </w:r>
      <w:r>
        <w:rPr>
          <w:rFonts w:hint="eastAsia" w:ascii="宋体" w:hAnsi="宋体" w:eastAsia="宋体" w:cs="宋体"/>
          <w:b/>
          <w:color w:val="auto"/>
          <w:sz w:val="21"/>
          <w:szCs w:val="21"/>
          <w:u w:val="single"/>
        </w:rPr>
        <w:fldChar w:fldCharType="end"/>
      </w:r>
      <w:r>
        <w:rPr>
          <w:rFonts w:hint="eastAsia" w:ascii="宋体" w:hAnsi="宋体" w:eastAsia="宋体" w:cs="宋体"/>
          <w:b/>
          <w:color w:val="auto"/>
          <w:sz w:val="21"/>
          <w:szCs w:val="21"/>
          <w:u w:val="single"/>
        </w:rPr>
        <w:t>全过程各项活动的技术、经济和组织的综合性文件；本工程的会议纪要等</w:t>
      </w:r>
      <w:r>
        <w:rPr>
          <w:rFonts w:hint="eastAsia" w:ascii="宋体" w:hAnsi="宋体" w:eastAsia="宋体" w:cs="宋体"/>
          <w:color w:val="auto"/>
          <w:sz w:val="21"/>
          <w:szCs w:val="21"/>
          <w:u w:val="single"/>
        </w:rPr>
        <w:t xml:space="preserve">     </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 合同当事人及其他相关方</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1.1.2.4监理人：</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1.1.2.5 设计人：</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 工程和设备</w:t>
      </w:r>
    </w:p>
    <w:p>
      <w:pPr>
        <w:pStyle w:val="1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1.1.3.7 作为施工现场组成部分的其他场所包括：</w:t>
      </w:r>
      <w:r>
        <w:rPr>
          <w:rFonts w:hint="eastAsia" w:ascii="宋体" w:hAnsi="宋体" w:eastAsia="宋体" w:cs="宋体"/>
          <w:color w:val="auto"/>
          <w:sz w:val="21"/>
          <w:szCs w:val="21"/>
          <w:u w:val="single"/>
        </w:rPr>
        <w:t xml:space="preserve"> 根据工程实际需要，经有关部门审批许可作为修建临时施工道路租用的土地、修建现场围墙占用的公共人行道等</w:t>
      </w:r>
      <w:r>
        <w:rPr>
          <w:rFonts w:hint="eastAsia" w:ascii="宋体" w:hAnsi="宋体" w:eastAsia="宋体" w:cs="宋体"/>
          <w:color w:val="auto"/>
          <w:sz w:val="21"/>
          <w:szCs w:val="21"/>
          <w:u w:val="single"/>
          <w:lang w:eastAsia="zh-CN"/>
        </w:rPr>
        <w:t>。</w:t>
      </w:r>
    </w:p>
    <w:p>
      <w:pPr>
        <w:pStyle w:val="15"/>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1.1.3.9 永久占地包括：</w:t>
      </w:r>
      <w:r>
        <w:rPr>
          <w:rFonts w:hint="eastAsia" w:ascii="宋体" w:hAnsi="宋体" w:eastAsia="宋体" w:cs="宋体"/>
          <w:color w:val="auto"/>
          <w:sz w:val="21"/>
          <w:szCs w:val="21"/>
          <w:u w:val="single"/>
        </w:rPr>
        <w:t>规划用地红线范围内为实施本合同工程需永久占用的土地</w:t>
      </w:r>
      <w:r>
        <w:rPr>
          <w:rFonts w:hint="eastAsia" w:ascii="宋体" w:hAnsi="宋体" w:eastAsia="宋体" w:cs="宋体"/>
          <w:color w:val="auto"/>
          <w:kern w:val="0"/>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1.1.3.10 临时占地包括：</w:t>
      </w:r>
      <w:r>
        <w:rPr>
          <w:rFonts w:hint="eastAsia" w:ascii="宋体" w:hAnsi="宋体" w:eastAsia="宋体" w:cs="宋体"/>
          <w:color w:val="auto"/>
          <w:sz w:val="21"/>
          <w:szCs w:val="21"/>
          <w:u w:val="single"/>
        </w:rPr>
        <w:t>永久占地外为实施合同工程需临时占用的土地。如需红线外借地，由承包人自行协调用地相关事宜，发生的费用由承包人承担</w:t>
      </w:r>
      <w:r>
        <w:rPr>
          <w:rFonts w:hint="eastAsia" w:ascii="宋体" w:hAnsi="宋体" w:eastAsia="宋体" w:cs="宋体"/>
          <w:color w:val="auto"/>
          <w:sz w:val="21"/>
          <w:szCs w:val="21"/>
        </w:rPr>
        <w:t>。如违反临时用地规定的，由此产生的后果均由承包人自行承担。</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1.3法律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适用于合同的其他规范性文件：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1.3.1《杭州市建设工程工程量清单计价实施细则》(杭建市发〔2018〕578号)；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1.3.2《关于进一步加强杭州市建设工程市场要素价格动态管理的指导意见》（杭建市发〔2018〕579号）；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1.3.3《关于发布&lt;杭州市新冠病毒肺炎疫情期间在建工程合同及工程价款调整的指导性细则&gt;的通知》（杭建市发〔2020〕164号）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1.3.4 《关于贯彻《省厅调整安全文明施工费的通知》的通知》（杭建市发〔2022〕54号）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1.3.5省市建设行政部门颁发的其他现行有效文件(包括但不仅限于以下文件)：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（1）《关于转发省建设厅&lt;关于进一步加强建筑施工领域企业安全生产工作的实施意见&gt;的通知》（杭建工发〔2011〕130号）；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（2）《关于进一步加强建设工程安全质量物联网管理应用平台建设的通知》（杭建工发〔2012〕426号）；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（3）《关于开展建筑工程扬尘在线监测设施安装工作的通知》（杭建工〔2019〕103号）；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（4）《关于巩固G20杭州峰会成果进一步加强建设工程文明施工管理的若干意见》（杭建工发〔2017〕112号）；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（5）《杭州市建设领域农民工“无欠薪”管理实施细则（试行）》（杭建市〔2018〕161号）；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（6）《关于杭州市建筑工地全面推广使用“浙里工程建设现场管控”重大应用（浙里建）的通知》（杭建数改办（2022）1号）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（7）《杭州市建设工程渣土管理办法》（市政府令第192号）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（8）市政府办公厅2022年5月15日发布的《杭州市人民政府办公厅关于进一步规范工程建筑垃圾管理的通知》</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（9）《关于发布杭州市工程渣土消纳市场信息价的通知》（杭渣土领〔2020〕1号）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（10）市建委2020年10月30日发布的《关于明确杭州市渣土运输及消纳项目计价清单编制和报价口径的通知》</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（11）《关于转发&lt;关于在全省工程建设领域改革保证金制度的通知&gt;的通知》（杭建市通知〔2020〕4号）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（12）《关于进一步提升杭州市市政道路建设质量管理的若干意见》（杭建工发〔2021〕32 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（13）《关于全面推广应用承插型盘扣式脚手架的通知》（杭建工发〔2021〕358号）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（14）《关于明确杭州市建筑施工领域安全生产责任保险费用计取的通知》（杭建招标造价中心〔2021〕84号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（15）其他：</w:t>
      </w:r>
      <w:r>
        <w:rPr>
          <w:rFonts w:hint="eastAsia" w:ascii="宋体" w:hAnsi="宋体" w:eastAsia="宋体" w:cs="宋体"/>
          <w:color w:val="auto"/>
          <w:sz w:val="21"/>
          <w:szCs w:val="21"/>
          <w:u w:val="single"/>
        </w:rPr>
        <w:t>其它法律、行政法规、地方性法规等</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各规定若有冲突可约定以最新颁布或要求最严者为依据。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1.3.4  新工艺、新技术的约定：</w:t>
      </w:r>
      <w:r>
        <w:rPr>
          <w:rFonts w:hint="eastAsia" w:ascii="宋体" w:hAnsi="宋体" w:eastAsia="宋体" w:cs="宋体"/>
          <w:color w:val="auto"/>
          <w:sz w:val="21"/>
          <w:szCs w:val="21"/>
          <w:u w:val="single"/>
        </w:rPr>
        <w:t xml:space="preserve"> 目前工程所在省、市、区行业主管部门的文件、规定及合同有效期内新的文件、规定等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1.3.15  其他：</w:t>
      </w:r>
      <w:r>
        <w:rPr>
          <w:rFonts w:hint="eastAsia" w:ascii="宋体" w:hAnsi="宋体" w:eastAsia="宋体" w:cs="宋体"/>
          <w:color w:val="auto"/>
          <w:sz w:val="21"/>
          <w:szCs w:val="21"/>
          <w:u w:val="single"/>
        </w:rPr>
        <w:t>相关部门颁发的有关文件对上述文件有调整的，按其最新规定执行</w:t>
      </w:r>
      <w:r>
        <w:rPr>
          <w:rFonts w:hint="eastAsia" w:ascii="宋体" w:hAnsi="宋体" w:eastAsia="宋体" w:cs="宋体"/>
          <w:color w:val="auto"/>
          <w:sz w:val="21"/>
          <w:szCs w:val="21"/>
        </w:rPr>
        <w:t>。</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 标准和规范</w:t>
      </w:r>
    </w:p>
    <w:p>
      <w:pPr>
        <w:spacing w:line="360" w:lineRule="auto"/>
        <w:ind w:left="682" w:leftChars="284"/>
        <w:rPr>
          <w:rFonts w:hint="eastAsia"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kern w:val="0"/>
          <w:sz w:val="21"/>
          <w:szCs w:val="21"/>
          <w:u w:val="single"/>
        </w:rPr>
        <w:t>包括但不限于国家现行的设计规范、国家现行的建筑施工规范、国家现行的施工验收规范、国家现行的建安工程质 量检验评定标准、国家及地方新型施工验收及施工安全技术规范及设计图中规定的规范标准等，并满足浙江省、杭州市安全文明标化工地的要求、省市行政主管部门的法规</w:t>
      </w:r>
      <w:r>
        <w:rPr>
          <w:rFonts w:hint="eastAsia" w:ascii="宋体" w:hAnsi="宋体" w:eastAsia="宋体" w:cs="宋体"/>
          <w:color w:val="auto"/>
          <w:sz w:val="21"/>
          <w:szCs w:val="21"/>
        </w:rPr>
        <w:t>。</w:t>
      </w:r>
    </w:p>
    <w:p>
      <w:pPr>
        <w:spacing w:line="360" w:lineRule="auto"/>
        <w:ind w:firstLine="420" w:firstLineChars="200"/>
        <w:outlineLvl w:val="0"/>
        <w:rPr>
          <w:rFonts w:hint="eastAsia" w:ascii="宋体" w:hAnsi="宋体" w:eastAsia="宋体" w:cs="宋体"/>
          <w:color w:val="auto"/>
          <w:kern w:val="0"/>
          <w:sz w:val="21"/>
          <w:szCs w:val="21"/>
        </w:rPr>
      </w:pPr>
      <w:bookmarkStart w:id="465" w:name="_Toc160553145"/>
      <w:r>
        <w:rPr>
          <w:rFonts w:hint="eastAsia" w:ascii="宋体" w:hAnsi="宋体" w:eastAsia="宋体" w:cs="宋体"/>
          <w:color w:val="auto"/>
          <w:kern w:val="0"/>
          <w:sz w:val="21"/>
          <w:szCs w:val="21"/>
        </w:rPr>
        <w:t>1.4.2 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sz w:val="21"/>
          <w:szCs w:val="21"/>
          <w:highlight w:val="none"/>
          <w:u w:val="single"/>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bookmarkEnd w:id="465"/>
    </w:p>
    <w:p>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sz w:val="21"/>
          <w:szCs w:val="21"/>
          <w:highlight w:val="none"/>
          <w:u w:val="single"/>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sz w:val="21"/>
          <w:szCs w:val="21"/>
          <w:highlight w:val="none"/>
          <w:u w:val="single"/>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pPr>
        <w:spacing w:line="360" w:lineRule="auto"/>
        <w:ind w:left="682" w:leftChars="284"/>
        <w:rPr>
          <w:rFonts w:hint="eastAsia"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r>
        <w:rPr>
          <w:rFonts w:hint="eastAsia" w:ascii="宋体" w:hAnsi="宋体" w:eastAsia="宋体" w:cs="宋体"/>
          <w:color w:val="auto"/>
          <w:sz w:val="21"/>
          <w:szCs w:val="21"/>
          <w:u w:val="single"/>
        </w:rPr>
        <w:t>详见设计文件和招标技术要求</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466" w:name="_Toc160553146"/>
      <w:r>
        <w:rPr>
          <w:rFonts w:hint="eastAsia" w:ascii="宋体" w:hAnsi="宋体" w:eastAsia="宋体" w:cs="宋体"/>
          <w:color w:val="auto"/>
          <w:sz w:val="21"/>
          <w:szCs w:val="21"/>
        </w:rPr>
        <w:t>1.5 合同文件的优先顺序</w:t>
      </w:r>
      <w:bookmarkEnd w:id="466"/>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合同文件组成及优先顺序为：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（1）合同协议书；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（2）中标通知书（或项目发承包基本情况表）；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（3）投标函及其附录（如果有）；</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（4）专用合同条款及其附件；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（5）招标文件及答疑文件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（6）通用合同条款；</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（7）技术标准和要求；</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（8）图纸及会审纪要、设计变更联系单；</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（9）已标价工程量清单或预算书；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（10）其他合同文件：</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①</w:t>
      </w:r>
      <w:r>
        <w:rPr>
          <w:rFonts w:hint="eastAsia" w:ascii="宋体" w:hAnsi="宋体" w:eastAsia="宋体" w:cs="宋体"/>
          <w:color w:val="auto"/>
          <w:sz w:val="21"/>
          <w:szCs w:val="21"/>
          <w:u w:val="single"/>
        </w:rPr>
        <w:t>投标时承包人提供的施工组织设计及经发包人审核批准的实施性施工组织设计；</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②其他：</w:t>
      </w:r>
      <w:r>
        <w:rPr>
          <w:rFonts w:hint="eastAsia" w:ascii="宋体" w:hAnsi="宋体" w:eastAsia="宋体" w:cs="宋体"/>
          <w:color w:val="auto"/>
          <w:sz w:val="21"/>
          <w:szCs w:val="21"/>
          <w:u w:val="single"/>
        </w:rPr>
        <w:t xml:space="preserve">会议纪要等   </w:t>
      </w:r>
      <w:r>
        <w:rPr>
          <w:rFonts w:hint="eastAsia" w:ascii="宋体" w:hAnsi="宋体" w:eastAsia="宋体" w:cs="宋体"/>
          <w:color w:val="auto"/>
          <w:sz w:val="21"/>
          <w:szCs w:val="21"/>
        </w:rPr>
        <w:t>。</w:t>
      </w:r>
    </w:p>
    <w:p>
      <w:pPr>
        <w:spacing w:after="120" w:line="360" w:lineRule="auto"/>
        <w:ind w:firstLine="420" w:firstLineChars="200"/>
        <w:outlineLvl w:val="0"/>
        <w:rPr>
          <w:rFonts w:hint="eastAsia" w:ascii="宋体" w:hAnsi="宋体" w:eastAsia="宋体" w:cs="宋体"/>
          <w:color w:val="auto"/>
          <w:sz w:val="21"/>
          <w:szCs w:val="21"/>
        </w:rPr>
      </w:pPr>
      <w:bookmarkStart w:id="467" w:name="_Toc160553147"/>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bookmarkEnd w:id="467"/>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 图纸的提供</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合同签订后7天内；</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捌套，如承包人需要增加图纸份数，费用由承包人承担；</w:t>
      </w:r>
    </w:p>
    <w:p>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施工图、设计联系单等。施工过程中承包人要求增加图纸的，发包人应在承包人支付复制工本费后提供承包人要求增加的图纸。使用标准图的，标准图由承包人负责提供，产生的费用由承包人承担。未经发包人书面同意，承包人不得将图纸泄露给与工程无关的他方。</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1.6.2 承包人文件</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发包人、监理人、质监站等相关部门要求提供与施工有关的一切必要文件；（如施工组织设计和施工进度计划、材料和设备采购计划等）；对危险性较大的分部分项工程，投标人需提供与自身报价相应的安全专项施工方案</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 xml:space="preserve">合同签订五个工作日内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sz w:val="21"/>
          <w:szCs w:val="21"/>
          <w:u w:val="single"/>
        </w:rPr>
        <w:t xml:space="preserve">两份以上，具体根据工程实际需求提供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xml:space="preserve">书面及电子形式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xml:space="preserve">承包人提供完备资料文件情况下，收到承包人资料齐全后5个工作日内予以审批或提出修改意见（不包括专用条款10.4 工程变更文件审批），如需专家论证的相应顺延。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1.6.3  现场图纸准备</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承包人应在施工现场另外保存一套完整的图纸和承包人文件，供发包人、监理人及有关人员进行工程检查时使用；工程竣工后，除承包人存档需要的图纸外，应将剩余图纸退还给发包人。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  联络</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  发包人和承包人应当在</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天内将与合同有关的通知、批准、证明、证书、指示、指令、要求、请求、同意、意见、确定和决定等书面函件送达对方当事人。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1.7.2 发包人接收文件的地点：</w:t>
      </w:r>
      <w:r>
        <w:rPr>
          <w:rFonts w:hint="eastAsia" w:ascii="宋体" w:hAnsi="宋体" w:eastAsia="宋体" w:cs="宋体"/>
          <w:color w:val="auto"/>
          <w:sz w:val="21"/>
          <w:szCs w:val="21"/>
          <w:u w:val="single"/>
        </w:rPr>
        <w:t xml:space="preserve">发包人办公所在地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发包人指定的接收人为：</w:t>
      </w:r>
      <w:r>
        <w:rPr>
          <w:rFonts w:hint="eastAsia" w:ascii="宋体" w:hAnsi="宋体" w:eastAsia="宋体" w:cs="宋体"/>
          <w:color w:val="auto"/>
          <w:sz w:val="21"/>
          <w:szCs w:val="21"/>
          <w:u w:val="single"/>
        </w:rPr>
        <w:t xml:space="preserve">发包人代表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承包人接收文件的地点：</w:t>
      </w:r>
      <w:r>
        <w:rPr>
          <w:rFonts w:hint="eastAsia" w:ascii="宋体" w:hAnsi="宋体" w:eastAsia="宋体" w:cs="宋体"/>
          <w:color w:val="auto"/>
          <w:sz w:val="21"/>
          <w:szCs w:val="21"/>
          <w:u w:val="single"/>
        </w:rPr>
        <w:t xml:space="preserve">工程现场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承包人指定的接收人为：</w:t>
      </w:r>
      <w:r>
        <w:rPr>
          <w:rFonts w:hint="eastAsia" w:ascii="宋体" w:hAnsi="宋体" w:eastAsia="宋体" w:cs="宋体"/>
          <w:color w:val="auto"/>
          <w:sz w:val="21"/>
          <w:szCs w:val="21"/>
          <w:u w:val="single"/>
        </w:rPr>
        <w:t xml:space="preserve">项目经理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监理人接收文件的地点：</w:t>
      </w:r>
      <w:r>
        <w:rPr>
          <w:rFonts w:hint="eastAsia" w:ascii="宋体" w:hAnsi="宋体" w:eastAsia="宋体" w:cs="宋体"/>
          <w:color w:val="auto"/>
          <w:sz w:val="21"/>
          <w:szCs w:val="21"/>
          <w:u w:val="single"/>
        </w:rPr>
        <w:t xml:space="preserve">工程现场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监理人指定的接收人为：</w:t>
      </w:r>
      <w:r>
        <w:rPr>
          <w:rFonts w:hint="eastAsia" w:ascii="宋体" w:hAnsi="宋体" w:eastAsia="宋体" w:cs="宋体"/>
          <w:color w:val="auto"/>
          <w:sz w:val="21"/>
          <w:szCs w:val="21"/>
          <w:u w:val="single"/>
        </w:rPr>
        <w:t xml:space="preserve">总监或监理代表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  交通运输</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1.8.1  出入现场的权利</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由承包人负责建设因施工所需修建的道路、桥梁以及其他基础设施，并承担相关费用；土地征用由发包人负责</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发包人及发包人认可的单位及人员具有随时出入施工现场的权利。</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1.8.2  场内交通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关于场外交通和场内交通的边界的约定：</w:t>
      </w:r>
      <w:r>
        <w:rPr>
          <w:rFonts w:hint="eastAsia" w:ascii="宋体" w:hAnsi="宋体" w:eastAsia="宋体" w:cs="宋体"/>
          <w:color w:val="auto"/>
          <w:sz w:val="21"/>
          <w:szCs w:val="21"/>
          <w:u w:val="single"/>
        </w:rPr>
        <w:t>施工图纸楼宇建筑物红线以内为场内交通，红线以外为场外交通。场内交通、施工车辆出入周边道路的管理及安全由承包人负责，并承担道路损坏后的维修费用，道路损坏如未及时修复的，发包人有权让第三方进行维修，费用由承包人承担</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z w:val="21"/>
          <w:szCs w:val="21"/>
          <w:u w:val="single"/>
        </w:rPr>
        <w:t xml:space="preserve">承包人自行踏勘现场了解现场情况，需利用现有的道路和交通设施等配套，如需新建且招标文件中未明确的，承包人自行跟交通部门沟通协调与建设，并承担费用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1.8.3  超大件和超重件的运输</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运输超大件或超重件所需的道路和桥梁临时加固改造费用和其他有关费用由</w:t>
      </w:r>
      <w:r>
        <w:rPr>
          <w:rFonts w:hint="eastAsia" w:ascii="宋体" w:hAnsi="宋体" w:eastAsia="宋体" w:cs="宋体"/>
          <w:color w:val="auto"/>
          <w:sz w:val="21"/>
          <w:szCs w:val="21"/>
          <w:u w:val="single"/>
        </w:rPr>
        <w:t xml:space="preserve"> 承包人 </w:t>
      </w:r>
      <w:r>
        <w:rPr>
          <w:rFonts w:hint="eastAsia" w:ascii="宋体" w:hAnsi="宋体" w:eastAsia="宋体" w:cs="宋体"/>
          <w:color w:val="auto"/>
          <w:sz w:val="21"/>
          <w:szCs w:val="21"/>
        </w:rPr>
        <w:t>承担。</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本工程的超大件：</w:t>
      </w:r>
      <w:r>
        <w:rPr>
          <w:rFonts w:hint="eastAsia" w:ascii="宋体" w:hAnsi="宋体" w:eastAsia="宋体" w:cs="宋体"/>
          <w:color w:val="auto"/>
          <w:sz w:val="21"/>
          <w:szCs w:val="21"/>
          <w:u w:val="single"/>
        </w:rPr>
        <w:t xml:space="preserve">  </w:t>
      </w:r>
      <w:r>
        <w:rPr>
          <w:rFonts w:hint="eastAsia" w:ascii="宋体" w:hAnsi="宋体" w:eastAsia="宋体" w:cs="宋体"/>
          <w:bCs/>
          <w:color w:val="auto"/>
          <w:sz w:val="21"/>
          <w:szCs w:val="21"/>
          <w:u w:val="single"/>
        </w:rPr>
        <w:t>由承包人根据工程情况自行考虑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本工程的超重件：</w:t>
      </w:r>
      <w:r>
        <w:rPr>
          <w:rFonts w:hint="eastAsia" w:ascii="宋体" w:hAnsi="宋体" w:eastAsia="宋体" w:cs="宋体"/>
          <w:b/>
          <w:color w:val="auto"/>
          <w:sz w:val="21"/>
          <w:szCs w:val="21"/>
          <w:u w:val="single"/>
        </w:rPr>
        <w:t xml:space="preserve">  </w:t>
      </w:r>
      <w:r>
        <w:rPr>
          <w:rFonts w:hint="eastAsia" w:ascii="宋体" w:hAnsi="宋体" w:eastAsia="宋体" w:cs="宋体"/>
          <w:b w:val="0"/>
          <w:bCs w:val="0"/>
          <w:color w:val="auto"/>
          <w:sz w:val="21"/>
          <w:szCs w:val="21"/>
          <w:u w:val="single"/>
        </w:rPr>
        <w:t xml:space="preserve">由承包人根据工程情况自行考虑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  知识产权</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归发包人</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承包人未经发包人书面同意，不得擅自使用或提供任何第三方使用。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1.9.2  关于承包人为实施工程所编制文件的著作权的归属：</w:t>
      </w:r>
      <w:r>
        <w:rPr>
          <w:rFonts w:hint="eastAsia" w:ascii="宋体" w:hAnsi="宋体" w:eastAsia="宋体" w:cs="宋体"/>
          <w:color w:val="auto"/>
          <w:sz w:val="21"/>
          <w:szCs w:val="21"/>
          <w:u w:val="single"/>
        </w:rPr>
        <w:t xml:space="preserve">除署名权以外的著作权属于发包人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仅供本工程施工、结算使用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  承包人在施工过程中所采用的专利、专有技术、技术秘密的使用费的承担方式：</w:t>
      </w:r>
      <w:r>
        <w:rPr>
          <w:rFonts w:hint="eastAsia" w:ascii="宋体" w:hAnsi="宋体" w:eastAsia="宋体" w:cs="宋体"/>
          <w:b/>
          <w:color w:val="auto"/>
          <w:sz w:val="21"/>
          <w:szCs w:val="21"/>
          <w:u w:val="single"/>
        </w:rPr>
        <w:t>（除发包人指明外）承包人在施工过程中所采用的专利、专有技术、技术秘密的使用费等均已包含在合同价款内，发包人无需另行支付其他费用</w:t>
      </w:r>
      <w:r>
        <w:rPr>
          <w:rFonts w:hint="eastAsia" w:ascii="宋体" w:hAnsi="宋体" w:eastAsia="宋体" w:cs="宋体"/>
          <w:b/>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1.10  工程量清单错误的修正</w:t>
      </w:r>
    </w:p>
    <w:p>
      <w:pPr>
        <w:spacing w:line="400" w:lineRule="exact"/>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出现工程量清单错误时，是否调整合同价格：</w:t>
      </w:r>
      <w:r>
        <w:rPr>
          <w:rFonts w:hint="eastAsia" w:ascii="宋体" w:hAnsi="宋体" w:eastAsia="宋体" w:cs="宋体"/>
          <w:b/>
          <w:color w:val="auto"/>
          <w:sz w:val="21"/>
          <w:szCs w:val="21"/>
          <w:u w:val="single"/>
        </w:rPr>
        <w:t xml:space="preserve">    是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允许调整合同价格的工程量偏差范围：</w:t>
      </w:r>
      <w:r>
        <w:rPr>
          <w:rFonts w:hint="eastAsia" w:ascii="宋体" w:hAnsi="宋体" w:eastAsia="宋体" w:cs="宋体"/>
          <w:color w:val="auto"/>
          <w:sz w:val="21"/>
          <w:szCs w:val="21"/>
          <w:u w:val="single"/>
        </w:rPr>
        <w:t>以联系单的形式按实调整；招标文件中明确的除外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调整合同价格的修正时间：</w:t>
      </w:r>
      <w:r>
        <w:rPr>
          <w:rFonts w:hint="eastAsia" w:ascii="宋体" w:hAnsi="宋体" w:eastAsia="宋体" w:cs="宋体"/>
          <w:color w:val="auto"/>
          <w:sz w:val="21"/>
          <w:szCs w:val="21"/>
          <w:u w:val="single"/>
        </w:rPr>
        <w:t>按联系单程序先审批，竣工结算时一次性调整</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发包人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2.1发包人应根据工程所需配备发包人代表，同时配备1-2名相关人员到岗履职。发包人应做好承包人农民工工资保证金缴存情况的审核工作，督促未缴存农民工工资保证金的承包人及时缴存。</w:t>
      </w:r>
    </w:p>
    <w:p>
      <w:pPr>
        <w:spacing w:line="400" w:lineRule="exact"/>
        <w:ind w:firstLine="422" w:firstLineChars="200"/>
        <w:rPr>
          <w:rFonts w:hint="eastAsia" w:ascii="宋体" w:hAnsi="宋体" w:eastAsia="宋体" w:cs="宋体"/>
          <w:b/>
          <w:bCs/>
          <w:color w:val="auto"/>
          <w:sz w:val="21"/>
          <w:szCs w:val="21"/>
          <w:u w:val="single"/>
        </w:rPr>
      </w:pPr>
      <w:r>
        <w:rPr>
          <w:rFonts w:hint="eastAsia" w:ascii="宋体" w:hAnsi="宋体" w:eastAsia="宋体" w:cs="宋体"/>
          <w:b/>
          <w:bCs/>
          <w:color w:val="auto"/>
          <w:sz w:val="21"/>
          <w:szCs w:val="21"/>
          <w:u w:val="single"/>
        </w:rPr>
        <w:t>建设工程施工前，发包人必须对工程项目建筑垃圾总量、回填利用量进行全面准确测算，并到项目所在地城管部门办理建筑垃圾处置手续。</w:t>
      </w:r>
    </w:p>
    <w:p>
      <w:pPr>
        <w:spacing w:line="400" w:lineRule="exact"/>
        <w:ind w:firstLine="422" w:firstLineChars="200"/>
        <w:rPr>
          <w:rFonts w:hint="eastAsia" w:ascii="宋体" w:hAnsi="宋体" w:eastAsia="宋体" w:cs="宋体"/>
          <w:b/>
          <w:bCs/>
          <w:color w:val="auto"/>
          <w:sz w:val="21"/>
          <w:szCs w:val="21"/>
          <w:u w:val="single"/>
        </w:rPr>
      </w:pPr>
      <w:r>
        <w:rPr>
          <w:rFonts w:hint="eastAsia" w:ascii="宋体" w:hAnsi="宋体" w:eastAsia="宋体" w:cs="宋体"/>
          <w:b/>
          <w:bCs/>
          <w:color w:val="auto"/>
          <w:sz w:val="21"/>
          <w:szCs w:val="21"/>
          <w:u w:val="single"/>
        </w:rPr>
        <w:t>发包人有权开展现场检查，督促承包人落实规范垃圾处置合同分包、车辆装载、车辆冲洗和规范消纳等措施。</w:t>
      </w:r>
    </w:p>
    <w:p>
      <w:pPr>
        <w:spacing w:line="400" w:lineRule="exact"/>
        <w:ind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u w:val="single"/>
        </w:rPr>
        <w:t>工程结算时，发包人有权对建筑垃圾处置核准证、消纳场地接纳回执联、工程竣工结算清单中建筑垃圾工程量三者进行比对：如实际消纳方量大于(或等于)工程竣工结算清单中建筑垃圾工程量90%的，按竣工结算清单工程量进行结算；如实际消纳方量小于工程竣工结算清单建筑垃圾工程量90%的，可要求承包人提供情况说明并附以佐证材料，无法提供佐证材料的：根据消纳场地接纳回执联工程量进行竣工结算。</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2.2  发包人代表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发包人代表：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2.3发包人对发包人代表的授权范围如下：</w:t>
      </w:r>
      <w:r>
        <w:rPr>
          <w:rFonts w:hint="eastAsia" w:ascii="宋体" w:hAnsi="宋体" w:eastAsia="宋体" w:cs="宋体"/>
          <w:color w:val="auto"/>
          <w:sz w:val="21"/>
          <w:szCs w:val="21"/>
          <w:u w:val="single"/>
        </w:rPr>
        <w:t xml:space="preserve">代表发包人与承包人、监理人、设计人等进行沟通联络，但发包人代表不得代表发包人作出决策，所有事项（包括但不限于工程量变更、工程价款变更、工期变更、工程质量问题、索赔等），均须经发包人盖章确认方为有效，否则发包人有权不予认可，由此产生的不利后果由承包人自行承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2.4.1  提供施工现场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开工前7天移交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2.4.2  提供施工条件</w:t>
      </w:r>
    </w:p>
    <w:p>
      <w:pPr>
        <w:spacing w:line="400" w:lineRule="exact"/>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具体承包人踏勘现场了解现场情况，招标文件中未明确的，由承包人自行解决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招标核准登记时已提供，承包人对此无异议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cs="宋体"/>
          <w:color w:val="auto"/>
          <w:sz w:val="21"/>
          <w:szCs w:val="21"/>
          <w:u w:val="single"/>
          <w:lang w:val="en-US" w:eastAsia="zh-CN"/>
        </w:rPr>
        <w:t>/</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发包人提供支付担保的形式：</w:t>
      </w:r>
      <w:r>
        <w:rPr>
          <w:rFonts w:hint="eastAsia" w:ascii="宋体" w:hAnsi="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承包人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  承包人的一般义务</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3.1.1承包人提交的竣工资料的内容：</w:t>
      </w:r>
      <w:r>
        <w:rPr>
          <w:rFonts w:hint="eastAsia" w:ascii="宋体" w:hAnsi="宋体" w:eastAsia="宋体" w:cs="宋体"/>
          <w:color w:val="auto"/>
          <w:sz w:val="21"/>
          <w:szCs w:val="21"/>
          <w:u w:val="single"/>
        </w:rPr>
        <w:t xml:space="preserve">承包人免费向发包人提交符合城建档案馆及其他有关部门要求的竣工图纸和竣工资料（包括相片）及一套光盘，如因资料不符合城建档案馆及其他有关部门的要求而产生的资料整理费用，由承包人承担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6套及影像资料（满足城建档案馆存档要求）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由承包人承担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 xml:space="preserve">验收合格后28天内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书面形式并按杭州市城建档案管资料归档要求，如需档案管重新整理，费用由承包人承担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3.1.2承包人应履行的其他义务：</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承包人应当在工程开工建设前，到项目所在地商业银行开设农民工工资专用账户，专项用于支付该工程建设项目农民工工资。</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承包人应建立实名制电子考勤系统，做好与杭州市智慧工地实名制管理应用系统以及全国建筑工人管理服务信息平台的数据对接工作。</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承包人应及时向项目所在地保证金管理部门缴存农民工工资保证金，并做好分包单位农民工工资保证金缴存的查验工作。</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应当在工程项目部配备劳资专管员，对分包单位劳动用工实施监督管理。实行分包单位农民工工资委托施工总承包单位代发制度。承包人应当按照与农民工依法约定的工资支付周期和具体支付日期支付工资，且每月至少向农民工足额支付一次工资。</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承包人应当在施工现场醒目位置设立维权信息告示牌，明示：（1）建设单位、施工总承包单位及所在项目部、分包单位、行业监管部门、劳资专管员等基本信息；（2）劳动用工相关法律法规、当地最低工资标准、工资支付日期等基本信息；（3）属地行业监管部门和劳动保障监察投诉举报电话、劳动争议调解仲裁申请渠道等信息。</w:t>
      </w:r>
    </w:p>
    <w:p>
      <w:pPr>
        <w:spacing w:line="400" w:lineRule="exact"/>
        <w:ind w:firstLine="422" w:firstLineChars="200"/>
        <w:rPr>
          <w:rFonts w:hint="eastAsia" w:ascii="宋体" w:hAnsi="宋体" w:eastAsia="宋体" w:cs="宋体"/>
          <w:color w:val="auto"/>
          <w:sz w:val="21"/>
          <w:szCs w:val="21"/>
          <w:u w:val="single"/>
        </w:rPr>
      </w:pPr>
      <w:r>
        <w:rPr>
          <w:rFonts w:hint="eastAsia" w:ascii="宋体" w:hAnsi="宋体" w:eastAsia="宋体" w:cs="宋体"/>
          <w:b/>
          <w:bCs/>
          <w:color w:val="auto"/>
          <w:sz w:val="21"/>
          <w:szCs w:val="21"/>
          <w:u w:val="single"/>
        </w:rPr>
        <w:t>承包人应规范建筑垃圾处置分包合同管理，建筑垃圾运输业务应当发包给本工程建筑垃圾处置证核准确定的运输单位。</w:t>
      </w:r>
    </w:p>
    <w:p>
      <w:pPr>
        <w:spacing w:line="400" w:lineRule="exact"/>
        <w:ind w:firstLine="422" w:firstLineChars="200"/>
        <w:rPr>
          <w:rFonts w:hint="eastAsia" w:ascii="宋体" w:hAnsi="宋体" w:eastAsia="宋体" w:cs="宋体"/>
          <w:color w:val="auto"/>
          <w:sz w:val="21"/>
          <w:szCs w:val="21"/>
          <w:u w:val="single"/>
        </w:rPr>
      </w:pPr>
      <w:r>
        <w:rPr>
          <w:rFonts w:hint="eastAsia" w:ascii="宋体" w:hAnsi="宋体" w:eastAsia="宋体" w:cs="宋体"/>
          <w:b/>
          <w:bCs/>
          <w:color w:val="auto"/>
          <w:sz w:val="21"/>
          <w:szCs w:val="21"/>
          <w:u w:val="single"/>
        </w:rPr>
        <w:t>承包人负责根据施工合同约定和相关法律法规要求，编制工程建筑垃圾处置方案，向项目所在地城管部门进行备案，并在工地出入口做好公示及日常维护工作。</w:t>
      </w:r>
    </w:p>
    <w:p>
      <w:pPr>
        <w:spacing w:line="400" w:lineRule="exact"/>
        <w:ind w:firstLine="422" w:firstLineChars="200"/>
        <w:rPr>
          <w:rFonts w:hint="eastAsia" w:ascii="宋体" w:hAnsi="宋体" w:eastAsia="宋体" w:cs="宋体"/>
          <w:color w:val="auto"/>
          <w:sz w:val="21"/>
          <w:szCs w:val="21"/>
          <w:u w:val="single"/>
        </w:rPr>
      </w:pPr>
      <w:r>
        <w:rPr>
          <w:rFonts w:hint="eastAsia" w:ascii="宋体" w:hAnsi="宋体" w:eastAsia="宋体" w:cs="宋体"/>
          <w:b/>
          <w:bCs/>
          <w:color w:val="auto"/>
          <w:sz w:val="21"/>
          <w:szCs w:val="21"/>
          <w:u w:val="single"/>
        </w:rPr>
        <w:t>承包人要加强建筑垃圾处置分包合同履约监管，严格核对建筑垃圾运输车辆，对不具备垃圾处置证、准运证、通行证的工程车辆，要及时清退。杜绝运输单位将建筑垃圾运输至非指定消纳场所，确保运输和处置规范。</w:t>
      </w:r>
    </w:p>
    <w:p>
      <w:pPr>
        <w:spacing w:line="400" w:lineRule="exact"/>
        <w:ind w:firstLine="422" w:firstLineChars="200"/>
        <w:rPr>
          <w:rFonts w:hint="eastAsia" w:ascii="宋体" w:hAnsi="宋体" w:eastAsia="宋体" w:cs="宋体"/>
          <w:color w:val="auto"/>
          <w:sz w:val="21"/>
          <w:szCs w:val="21"/>
          <w:u w:val="single"/>
        </w:rPr>
      </w:pPr>
      <w:r>
        <w:rPr>
          <w:rFonts w:hint="eastAsia" w:ascii="宋体" w:hAnsi="宋体" w:eastAsia="宋体" w:cs="宋体"/>
          <w:b/>
          <w:bCs/>
          <w:color w:val="auto"/>
          <w:sz w:val="21"/>
          <w:szCs w:val="21"/>
          <w:u w:val="single"/>
        </w:rPr>
        <w:t>承包人与运输、处置单位结算相关费用前应当查验接纳回执。</w:t>
      </w:r>
    </w:p>
    <w:p>
      <w:pPr>
        <w:spacing w:line="400" w:lineRule="exact"/>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3.1.3承包人还应履行的义务：</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a、应提供计划、报表的名称及完成时间：在合同签署后7天内,承包人向发包人提供工程总进度计划以及每周进度计划，且每周列会日提供上周完成工作量和工作价款表，上报监理人与发包人核定；如发包人另有要求时,还应无条件按发包人指定的进度提交工程的进度计划。</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b、承担施工安全保卫工作及非夜间施工照明的责任和要求：按安监站要求实施标化管理。施工现场的夜间照明线路必须敷设等，若没有按安监站要求，造成工程损失与人身伤害，承包人承担全部责任及费用。</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c、需承包人办理的有关施工场地交通、环卫和施工噪音管理等手续：遵循地方政府和有关部门的管理规定，由承包人自行办理有关手续和承担相关费用。</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d、已完工程成品保护的特殊要求及费用承担：在工程移交前，对已完工程的所有保护及费用均由承包人负责。</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e、施工场地周围地下管线和邻近建筑物、构筑物（含文物保护建筑）、古树名木的保护要求及费用承担：做好保护工作，除文物、古树名木保护经发包人认可发生的费用由发包人承担，其余由承包人承担相关费用及法律责任，因承包人原因损坏的，由承包人承担一切责任和费用。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f、施工场地清洁卫生的要求：按《杭州市建筑工程施工场地文明管理规定》等省市有关规定实施标化管理和现场公共部位的清洁绿化工作并承担费用。工程完工交付5天内现场应清除所有不再需要的临时工程、承包人的设备和多余材料、全部建筑和生活垃圾，达到发包人满意的使用状态。如承包人不履行，发包人可自行清除，发生的费用由承包人承担。</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g、双方约定承包人应做的其他工作，包括但不限于：在施工区域内做好各项安全保卫工作，按照《杭州市建设工程施工现场作业人员实名制管理规定（试行）》要求，严格执行施工现场作业人员实名制管理，且每个进出口每天至少同时配备2 名以上专业保安人员负责现场门卫、秩序维护及治安管理等工作。一经发现未按要求配备人员或所配备人员怠于履行职责的，按照每</w:t>
      </w:r>
      <w:r>
        <w:rPr>
          <w:rFonts w:hint="eastAsia" w:ascii="宋体" w:hAnsi="宋体" w:eastAsia="宋体" w:cs="宋体"/>
          <w:color w:val="auto"/>
          <w:sz w:val="21"/>
          <w:szCs w:val="21"/>
          <w:highlight w:val="none"/>
          <w:u w:val="single"/>
        </w:rPr>
        <w:t>次/人</w:t>
      </w:r>
      <w:r>
        <w:rPr>
          <w:rFonts w:hint="eastAsia" w:ascii="宋体" w:hAnsi="宋体" w:eastAsia="宋体" w:cs="宋体"/>
          <w:color w:val="auto"/>
          <w:sz w:val="21"/>
          <w:szCs w:val="21"/>
          <w:highlight w:val="none"/>
          <w:u w:val="single"/>
          <w:lang w:val="en-US" w:eastAsia="zh-CN"/>
        </w:rPr>
        <w:t>2000</w:t>
      </w:r>
      <w:r>
        <w:rPr>
          <w:rFonts w:hint="eastAsia" w:ascii="宋体" w:hAnsi="宋体" w:eastAsia="宋体" w:cs="宋体"/>
          <w:color w:val="auto"/>
          <w:sz w:val="21"/>
          <w:szCs w:val="21"/>
          <w:highlight w:val="none"/>
          <w:u w:val="single"/>
        </w:rPr>
        <w:t>元</w:t>
      </w:r>
      <w:r>
        <w:rPr>
          <w:rFonts w:hint="eastAsia" w:ascii="宋体" w:hAnsi="宋体" w:eastAsia="宋体" w:cs="宋体"/>
          <w:color w:val="auto"/>
          <w:sz w:val="21"/>
          <w:szCs w:val="21"/>
          <w:u w:val="single"/>
        </w:rPr>
        <w:t>计取违约金；委托办理工程质量安全监督手续、施工许可证；招标文件中所明确的事项。</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H、承包人负责施工场地内水电管网（线路）铺设及其设施，并严格按供水、供电的有关规定执行，否则一切后果均由承包人负责。</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I、</w:t>
      </w:r>
      <w:r>
        <w:rPr>
          <w:rFonts w:hint="eastAsia" w:ascii="宋体" w:hAnsi="宋体" w:eastAsia="宋体" w:cs="宋体"/>
          <w:color w:val="auto"/>
          <w:sz w:val="21"/>
          <w:szCs w:val="21"/>
          <w:u w:val="single"/>
        </w:rPr>
        <w:fldChar w:fldCharType="begin"/>
      </w:r>
      <w:r>
        <w:rPr>
          <w:rFonts w:hint="eastAsia" w:ascii="宋体" w:hAnsi="宋体" w:eastAsia="宋体" w:cs="宋体"/>
          <w:color w:val="auto"/>
          <w:sz w:val="21"/>
          <w:szCs w:val="21"/>
          <w:u w:val="single"/>
        </w:rPr>
        <w:instrText xml:space="preserve"> = 1 \* GB3 </w:instrText>
      </w:r>
      <w:r>
        <w:rPr>
          <w:rFonts w:hint="eastAsia" w:ascii="宋体" w:hAnsi="宋体" w:eastAsia="宋体" w:cs="宋体"/>
          <w:color w:val="auto"/>
          <w:sz w:val="21"/>
          <w:szCs w:val="21"/>
          <w:u w:val="single"/>
        </w:rPr>
        <w:fldChar w:fldCharType="separate"/>
      </w:r>
      <w:r>
        <w:rPr>
          <w:rFonts w:hint="eastAsia" w:ascii="宋体" w:hAnsi="宋体" w:eastAsia="宋体" w:cs="宋体"/>
          <w:color w:val="auto"/>
          <w:sz w:val="21"/>
          <w:szCs w:val="21"/>
          <w:u w:val="single"/>
        </w:rPr>
        <w:t>①</w:t>
      </w:r>
      <w:r>
        <w:rPr>
          <w:rFonts w:hint="eastAsia" w:ascii="宋体" w:hAnsi="宋体" w:eastAsia="宋体" w:cs="宋体"/>
          <w:color w:val="auto"/>
          <w:sz w:val="21"/>
          <w:szCs w:val="21"/>
          <w:u w:val="single"/>
        </w:rPr>
        <w:fldChar w:fldCharType="end"/>
      </w:r>
      <w:r>
        <w:rPr>
          <w:rFonts w:hint="eastAsia" w:ascii="宋体" w:hAnsi="宋体" w:eastAsia="宋体" w:cs="宋体"/>
          <w:color w:val="auto"/>
          <w:sz w:val="21"/>
          <w:szCs w:val="21"/>
          <w:u w:val="single"/>
        </w:rPr>
        <w:t>开工前承包人对施工图纸认真核查，积极配合发包人组织的施工图纸交底及会审工作，指出图纸上任何不符规范之处，以及设计图纸中错、漏、碰问题，并做好各系统管线的综合平衡工作。</w:t>
      </w:r>
      <w:r>
        <w:rPr>
          <w:rFonts w:hint="eastAsia" w:ascii="宋体" w:hAnsi="宋体" w:eastAsia="宋体" w:cs="宋体"/>
          <w:color w:val="auto"/>
          <w:sz w:val="21"/>
          <w:szCs w:val="21"/>
          <w:u w:val="single"/>
        </w:rPr>
        <w:fldChar w:fldCharType="begin"/>
      </w:r>
      <w:r>
        <w:rPr>
          <w:rFonts w:hint="eastAsia" w:ascii="宋体" w:hAnsi="宋体" w:eastAsia="宋体" w:cs="宋体"/>
          <w:color w:val="auto"/>
          <w:sz w:val="21"/>
          <w:szCs w:val="21"/>
          <w:u w:val="single"/>
        </w:rPr>
        <w:instrText xml:space="preserve"> = 2 \* GB3 </w:instrText>
      </w:r>
      <w:r>
        <w:rPr>
          <w:rFonts w:hint="eastAsia" w:ascii="宋体" w:hAnsi="宋体" w:eastAsia="宋体" w:cs="宋体"/>
          <w:color w:val="auto"/>
          <w:sz w:val="21"/>
          <w:szCs w:val="21"/>
          <w:u w:val="single"/>
        </w:rPr>
        <w:fldChar w:fldCharType="separate"/>
      </w:r>
      <w:r>
        <w:rPr>
          <w:rFonts w:hint="eastAsia" w:ascii="宋体" w:hAnsi="宋体" w:eastAsia="宋体" w:cs="宋体"/>
          <w:color w:val="auto"/>
          <w:sz w:val="21"/>
          <w:szCs w:val="21"/>
          <w:u w:val="single"/>
        </w:rPr>
        <w:t>②</w:t>
      </w:r>
      <w:r>
        <w:rPr>
          <w:rFonts w:hint="eastAsia" w:ascii="宋体" w:hAnsi="宋体" w:eastAsia="宋体" w:cs="宋体"/>
          <w:color w:val="auto"/>
          <w:sz w:val="21"/>
          <w:szCs w:val="21"/>
          <w:u w:val="single"/>
        </w:rPr>
        <w:fldChar w:fldCharType="end"/>
      </w:r>
      <w:r>
        <w:rPr>
          <w:rFonts w:hint="eastAsia" w:ascii="宋体" w:hAnsi="宋体" w:eastAsia="宋体" w:cs="宋体"/>
          <w:color w:val="auto"/>
          <w:sz w:val="21"/>
          <w:szCs w:val="21"/>
          <w:u w:val="single"/>
        </w:rPr>
        <w:t>无论何种原因，承包人不得擅自停工，如承包人未经发包人书面确认擅自停工，所造成的一切责任均由承包人自行承担（包括工期、费用、处罚等）。</w:t>
      </w:r>
      <w:r>
        <w:rPr>
          <w:rFonts w:hint="eastAsia" w:ascii="宋体" w:hAnsi="宋体" w:eastAsia="宋体" w:cs="宋体"/>
          <w:color w:val="auto"/>
          <w:sz w:val="21"/>
          <w:szCs w:val="21"/>
          <w:u w:val="single"/>
        </w:rPr>
        <w:fldChar w:fldCharType="begin"/>
      </w:r>
      <w:r>
        <w:rPr>
          <w:rFonts w:hint="eastAsia" w:ascii="宋体" w:hAnsi="宋体" w:eastAsia="宋体" w:cs="宋体"/>
          <w:color w:val="auto"/>
          <w:sz w:val="21"/>
          <w:szCs w:val="21"/>
          <w:u w:val="single"/>
        </w:rPr>
        <w:instrText xml:space="preserve"> = 3 \* GB3 </w:instrText>
      </w:r>
      <w:r>
        <w:rPr>
          <w:rFonts w:hint="eastAsia" w:ascii="宋体" w:hAnsi="宋体" w:eastAsia="宋体" w:cs="宋体"/>
          <w:color w:val="auto"/>
          <w:sz w:val="21"/>
          <w:szCs w:val="21"/>
          <w:u w:val="single"/>
        </w:rPr>
        <w:fldChar w:fldCharType="separate"/>
      </w:r>
      <w:r>
        <w:rPr>
          <w:rFonts w:hint="eastAsia" w:ascii="宋体" w:hAnsi="宋体" w:eastAsia="宋体" w:cs="宋体"/>
          <w:color w:val="auto"/>
          <w:sz w:val="21"/>
          <w:szCs w:val="21"/>
          <w:u w:val="single"/>
        </w:rPr>
        <w:t>③</w:t>
      </w:r>
      <w:r>
        <w:rPr>
          <w:rFonts w:hint="eastAsia" w:ascii="宋体" w:hAnsi="宋体" w:eastAsia="宋体" w:cs="宋体"/>
          <w:color w:val="auto"/>
          <w:sz w:val="21"/>
          <w:szCs w:val="21"/>
          <w:u w:val="single"/>
        </w:rPr>
        <w:fldChar w:fldCharType="end"/>
      </w:r>
      <w:r>
        <w:rPr>
          <w:rFonts w:hint="eastAsia" w:ascii="宋体" w:hAnsi="宋体" w:eastAsia="宋体" w:cs="宋体"/>
          <w:color w:val="auto"/>
          <w:sz w:val="21"/>
          <w:szCs w:val="21"/>
          <w:u w:val="single"/>
        </w:rPr>
        <w:t>开工前完成详细合理的施工现场布置及交通疏导详细方案。</w:t>
      </w:r>
      <w:r>
        <w:rPr>
          <w:rFonts w:hint="eastAsia" w:ascii="宋体" w:hAnsi="宋体" w:eastAsia="宋体" w:cs="宋体"/>
          <w:color w:val="auto"/>
          <w:sz w:val="21"/>
          <w:szCs w:val="21"/>
          <w:u w:val="single"/>
        </w:rPr>
        <w:fldChar w:fldCharType="begin"/>
      </w:r>
      <w:r>
        <w:rPr>
          <w:rFonts w:hint="eastAsia" w:ascii="宋体" w:hAnsi="宋体" w:eastAsia="宋体" w:cs="宋体"/>
          <w:color w:val="auto"/>
          <w:sz w:val="21"/>
          <w:szCs w:val="21"/>
          <w:u w:val="single"/>
        </w:rPr>
        <w:instrText xml:space="preserve"> = 4 \* GB3 </w:instrText>
      </w:r>
      <w:r>
        <w:rPr>
          <w:rFonts w:hint="eastAsia" w:ascii="宋体" w:hAnsi="宋体" w:eastAsia="宋体" w:cs="宋体"/>
          <w:color w:val="auto"/>
          <w:sz w:val="21"/>
          <w:szCs w:val="21"/>
          <w:u w:val="single"/>
        </w:rPr>
        <w:fldChar w:fldCharType="separate"/>
      </w:r>
      <w:r>
        <w:rPr>
          <w:rFonts w:hint="eastAsia" w:ascii="宋体" w:hAnsi="宋体" w:eastAsia="宋体" w:cs="宋体"/>
          <w:color w:val="auto"/>
          <w:sz w:val="21"/>
          <w:szCs w:val="21"/>
          <w:u w:val="single"/>
        </w:rPr>
        <w:t>④</w:t>
      </w:r>
      <w:r>
        <w:rPr>
          <w:rFonts w:hint="eastAsia" w:ascii="宋体" w:hAnsi="宋体" w:eastAsia="宋体" w:cs="宋体"/>
          <w:color w:val="auto"/>
          <w:sz w:val="21"/>
          <w:szCs w:val="21"/>
          <w:u w:val="single"/>
        </w:rPr>
        <w:fldChar w:fldCharType="end"/>
      </w:r>
      <w:r>
        <w:rPr>
          <w:rFonts w:hint="eastAsia" w:ascii="宋体" w:hAnsi="宋体" w:eastAsia="宋体" w:cs="宋体"/>
          <w:color w:val="auto"/>
          <w:sz w:val="21"/>
          <w:szCs w:val="21"/>
          <w:u w:val="single"/>
        </w:rPr>
        <w:t>涉及治安、市政市容、环保、交通、计划生育、工程所在地周围关系协调及行政审批手续等所发生的费用由承包人负责承担。</w:t>
      </w:r>
      <w:r>
        <w:rPr>
          <w:rFonts w:hint="eastAsia" w:ascii="宋体" w:hAnsi="宋体" w:eastAsia="宋体" w:cs="宋体"/>
          <w:color w:val="auto"/>
          <w:sz w:val="21"/>
          <w:szCs w:val="21"/>
          <w:u w:val="single"/>
        </w:rPr>
        <w:fldChar w:fldCharType="begin"/>
      </w:r>
      <w:r>
        <w:rPr>
          <w:rFonts w:hint="eastAsia" w:ascii="宋体" w:hAnsi="宋体" w:eastAsia="宋体" w:cs="宋体"/>
          <w:color w:val="auto"/>
          <w:sz w:val="21"/>
          <w:szCs w:val="21"/>
          <w:u w:val="single"/>
        </w:rPr>
        <w:instrText xml:space="preserve"> = 5 \* GB3 </w:instrText>
      </w:r>
      <w:r>
        <w:rPr>
          <w:rFonts w:hint="eastAsia" w:ascii="宋体" w:hAnsi="宋体" w:eastAsia="宋体" w:cs="宋体"/>
          <w:color w:val="auto"/>
          <w:sz w:val="21"/>
          <w:szCs w:val="21"/>
          <w:u w:val="single"/>
        </w:rPr>
        <w:fldChar w:fldCharType="separate"/>
      </w:r>
      <w:r>
        <w:rPr>
          <w:rFonts w:hint="eastAsia" w:ascii="宋体" w:hAnsi="宋体" w:eastAsia="宋体" w:cs="宋体"/>
          <w:color w:val="auto"/>
          <w:sz w:val="21"/>
          <w:szCs w:val="21"/>
          <w:u w:val="single"/>
        </w:rPr>
        <w:t>⑤</w:t>
      </w:r>
      <w:r>
        <w:rPr>
          <w:rFonts w:hint="eastAsia" w:ascii="宋体" w:hAnsi="宋体" w:eastAsia="宋体" w:cs="宋体"/>
          <w:color w:val="auto"/>
          <w:sz w:val="21"/>
          <w:szCs w:val="21"/>
          <w:u w:val="single"/>
        </w:rPr>
        <w:fldChar w:fldCharType="end"/>
      </w:r>
      <w:r>
        <w:rPr>
          <w:rFonts w:hint="eastAsia" w:ascii="宋体" w:hAnsi="宋体" w:eastAsia="宋体" w:cs="宋体"/>
          <w:color w:val="auto"/>
          <w:sz w:val="21"/>
          <w:szCs w:val="21"/>
          <w:u w:val="single"/>
        </w:rPr>
        <w:t>涉及周边排水、道路排水及沟渠等排水问题由承包人负责解决并承担费用。</w:t>
      </w:r>
      <w:r>
        <w:rPr>
          <w:rFonts w:hint="eastAsia" w:ascii="宋体" w:hAnsi="宋体" w:eastAsia="宋体" w:cs="宋体"/>
          <w:color w:val="auto"/>
          <w:sz w:val="21"/>
          <w:szCs w:val="21"/>
          <w:u w:val="single"/>
        </w:rPr>
        <w:fldChar w:fldCharType="begin"/>
      </w:r>
      <w:r>
        <w:rPr>
          <w:rFonts w:hint="eastAsia" w:ascii="宋体" w:hAnsi="宋体" w:eastAsia="宋体" w:cs="宋体"/>
          <w:color w:val="auto"/>
          <w:sz w:val="21"/>
          <w:szCs w:val="21"/>
          <w:u w:val="single"/>
        </w:rPr>
        <w:instrText xml:space="preserve"> = 6 \* GB3 </w:instrText>
      </w:r>
      <w:r>
        <w:rPr>
          <w:rFonts w:hint="eastAsia" w:ascii="宋体" w:hAnsi="宋体" w:eastAsia="宋体" w:cs="宋体"/>
          <w:color w:val="auto"/>
          <w:sz w:val="21"/>
          <w:szCs w:val="21"/>
          <w:u w:val="single"/>
        </w:rPr>
        <w:fldChar w:fldCharType="separate"/>
      </w:r>
      <w:r>
        <w:rPr>
          <w:rFonts w:hint="eastAsia" w:ascii="宋体" w:hAnsi="宋体" w:eastAsia="宋体" w:cs="宋体"/>
          <w:color w:val="auto"/>
          <w:sz w:val="21"/>
          <w:szCs w:val="21"/>
          <w:u w:val="single"/>
        </w:rPr>
        <w:t>⑥</w:t>
      </w:r>
      <w:r>
        <w:rPr>
          <w:rFonts w:hint="eastAsia" w:ascii="宋体" w:hAnsi="宋体" w:eastAsia="宋体" w:cs="宋体"/>
          <w:color w:val="auto"/>
          <w:sz w:val="21"/>
          <w:szCs w:val="21"/>
          <w:u w:val="single"/>
        </w:rPr>
        <w:fldChar w:fldCharType="end"/>
      </w:r>
      <w:r>
        <w:rPr>
          <w:rFonts w:hint="eastAsia" w:ascii="宋体" w:hAnsi="宋体" w:eastAsia="宋体" w:cs="宋体"/>
          <w:color w:val="auto"/>
          <w:sz w:val="21"/>
          <w:szCs w:val="21"/>
          <w:u w:val="single"/>
        </w:rPr>
        <w:t>承包人应自备发电机，费用已在投标报价中包干，因电力不足或停电，给工程造成的一切损失由承包人承担。组织措施项目费由承包人包干使用，不因工程量变化、现场施工条件变化等原因而调整。</w:t>
      </w:r>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3.2 项目经理</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 xml:space="preserve">3.2.1 </w:t>
      </w:r>
      <w:r>
        <w:rPr>
          <w:rFonts w:hint="eastAsia" w:ascii="宋体" w:hAnsi="宋体" w:eastAsia="宋体" w:cs="宋体"/>
          <w:color w:val="auto"/>
          <w:sz w:val="21"/>
          <w:szCs w:val="21"/>
        </w:rPr>
        <w:t>项目经理：</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3.2.2承包人对项目经理的授权范围如下：</w:t>
      </w:r>
      <w:r>
        <w:rPr>
          <w:rFonts w:hint="eastAsia" w:ascii="宋体" w:hAnsi="宋体" w:eastAsia="宋体" w:cs="宋体"/>
          <w:color w:val="auto"/>
          <w:sz w:val="21"/>
          <w:szCs w:val="21"/>
          <w:u w:val="single"/>
        </w:rPr>
        <w:t xml:space="preserve">负责本工程的合同签订及履行合同内容要求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关于项目经理每月在施工现场的时间要求：</w:t>
      </w:r>
      <w:r>
        <w:rPr>
          <w:rFonts w:hint="eastAsia" w:ascii="宋体" w:hAnsi="宋体" w:eastAsia="宋体" w:cs="宋体"/>
          <w:color w:val="auto"/>
          <w:sz w:val="21"/>
          <w:szCs w:val="21"/>
          <w:u w:val="single"/>
        </w:rPr>
        <w:t>项目经理应严格按照住建部《建筑施工项目经理质量安全责任十项规定（试行）》（建质〔2014〕123号）要求，切实履行项目经理岗位职责，每月现场出勤不得少于本月施工时间的90%。若每月现场出勤少于本月施工时间的90%，多于70%，每月次处以施工合同价的0.1%作为违约金；若每月现场出勤少于本月施工时间的70%，每月次处以施工合同价的0.25%作为违约金；若抽查检查时发现无故不在岗，每次处以施工合同价的0.05%作为违约金。承包人应按投标承诺组建项目施工机构，项目施工机构人员每月现场出勤不得少于本月施工时间的90%。若每月现场出勤少于本月施工时间的90%，多于80%，每月次处以施工合同价的0.1%作为违约金；若现场出勤少于本月施工时间的80%，每月次处以施工合同价的0.25%作为违约金；若抽查检查时发现技术负责人、安全员、质量员、资料员、施工员等人员无故不在岗，每次处以施工合同价的0.02%每人作为违约金</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承包人未提交劳动合同，以及没有为项目经理缴纳社会保险证明的违约责任：</w:t>
      </w:r>
      <w:r>
        <w:rPr>
          <w:rFonts w:hint="eastAsia" w:ascii="宋体" w:hAnsi="宋体" w:eastAsia="宋体" w:cs="宋体"/>
          <w:color w:val="auto"/>
          <w:sz w:val="21"/>
          <w:szCs w:val="21"/>
          <w:u w:val="single"/>
        </w:rPr>
        <w:t>责令承包人改正，并上报建设行政主管部门进行相应处罚，且发包人有权要求更换项目经理，由此增加的费用和延误的工期责任由承包人承担。</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项目经理未经批准，擅自离开施工现场的违约责任：</w:t>
      </w:r>
      <w:r>
        <w:rPr>
          <w:rFonts w:hint="eastAsia" w:ascii="宋体" w:hAnsi="宋体" w:eastAsia="宋体" w:cs="宋体"/>
          <w:color w:val="auto"/>
          <w:sz w:val="21"/>
          <w:szCs w:val="21"/>
          <w:u w:val="single"/>
        </w:rPr>
        <w:t>缺岗5000元/次，从人员到位履约保证金中扣除。累计缺岗3天及以上，发包人有权按违约处理，将扣完全部承包人人员到位率保证金，并根据其对发包人造成经济损失的程度予以赔偿直至解除合同。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3.2.3 承包人擅自更换项目经理的违约责任：</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（1）项目经理原则上不同意变更。承包人确需更换项目经理的，继任项目经理注册执业资格、管理经验的约定：</w:t>
      </w:r>
      <w:r>
        <w:rPr>
          <w:rFonts w:hint="eastAsia" w:ascii="宋体" w:hAnsi="宋体" w:eastAsia="宋体" w:cs="宋体"/>
          <w:color w:val="auto"/>
          <w:sz w:val="21"/>
          <w:szCs w:val="21"/>
          <w:u w:val="single"/>
        </w:rPr>
        <w:t xml:space="preserve">不得低于原项目经理的注册执业资格、管理经验，且需经得建设行政主管部门批准和发包人的书面同意 </w:t>
      </w:r>
      <w:r>
        <w:rPr>
          <w:rFonts w:hint="eastAsia" w:ascii="宋体" w:hAnsi="宋体" w:eastAsia="宋体" w:cs="宋体"/>
          <w:color w:val="auto"/>
          <w:sz w:val="21"/>
          <w:szCs w:val="21"/>
        </w:rPr>
        <w:t>。如发包人不满意替换的项目经理，则承包人应立刻撤换该项目经理直至满足发包人要求，由此增加的费用和延误的工期责任由承包人承担。</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（2）承包人擅自更换项目经理的违约责任：</w:t>
      </w:r>
      <w:r>
        <w:rPr>
          <w:rFonts w:hint="eastAsia" w:ascii="宋体" w:hAnsi="宋体" w:eastAsia="宋体" w:cs="宋体"/>
          <w:color w:val="auto"/>
          <w:sz w:val="21"/>
          <w:szCs w:val="21"/>
          <w:u w:val="single"/>
        </w:rPr>
        <w:t>发包人上报建设行政主管部门进行相应处罚，并在人员到位履约保证金中扣除，其标准是：项目经理和技术负责人：20000元/人/次，并根据其对发包人造成经济损失的程度予以赔偿直至解除合同</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3.2.4 承包人无正当理由拒绝更换项目经理的违约责任：</w:t>
      </w:r>
      <w:r>
        <w:rPr>
          <w:rFonts w:hint="eastAsia" w:ascii="宋体" w:hAnsi="宋体" w:eastAsia="宋体" w:cs="宋体"/>
          <w:color w:val="auto"/>
          <w:sz w:val="21"/>
          <w:szCs w:val="21"/>
          <w:u w:val="single"/>
        </w:rPr>
        <w:t>发包人上报建设行政主管部门进行相应处罚，向发包人支付</w:t>
      </w:r>
      <w:r>
        <w:rPr>
          <w:rFonts w:hint="eastAsia" w:ascii="宋体" w:hAnsi="宋体" w:eastAsia="宋体" w:cs="宋体"/>
          <w:color w:val="auto"/>
          <w:sz w:val="21"/>
          <w:szCs w:val="21"/>
          <w:u w:val="single"/>
          <w:lang w:val="en-US" w:eastAsia="zh-CN"/>
        </w:rPr>
        <w:t>20000</w:t>
      </w:r>
      <w:r>
        <w:rPr>
          <w:rFonts w:hint="eastAsia" w:ascii="宋体" w:hAnsi="宋体" w:eastAsia="宋体" w:cs="宋体"/>
          <w:color w:val="auto"/>
          <w:sz w:val="21"/>
          <w:szCs w:val="21"/>
          <w:u w:val="single"/>
        </w:rPr>
        <w:t>元/人/次违约金并根据其对发包人造成经济损失的程度予以赔偿直至解除合同</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  承包人人员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3.3.1  承包人提交项目管理机构及施工现场管理人员安排报告的期限：</w:t>
      </w:r>
      <w:r>
        <w:rPr>
          <w:rFonts w:hint="eastAsia" w:ascii="宋体" w:hAnsi="宋体" w:eastAsia="宋体" w:cs="宋体"/>
          <w:color w:val="auto"/>
          <w:sz w:val="21"/>
          <w:szCs w:val="21"/>
          <w:u w:val="single"/>
        </w:rPr>
        <w:t xml:space="preserve">合同生效7天内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3.3.2  承包人需更换主要施工管理人员的，继任人员的数量、注册执业资格、管理经验的约定：</w:t>
      </w:r>
      <w:r>
        <w:rPr>
          <w:rFonts w:hint="eastAsia" w:ascii="宋体" w:hAnsi="宋体" w:eastAsia="宋体" w:cs="宋体"/>
          <w:color w:val="auto"/>
          <w:sz w:val="21"/>
          <w:szCs w:val="21"/>
          <w:u w:val="single"/>
        </w:rPr>
        <w:t xml:space="preserve">不得低于原主要管理人员的技术水平、管理经验，同时需经得建设行政主管部门批准和发包人的书面同意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3.3.3  承包人无正当理由拒绝撤换主要施工管理人员的违约责任：</w:t>
      </w:r>
      <w:r>
        <w:rPr>
          <w:rFonts w:hint="eastAsia" w:ascii="宋体" w:hAnsi="宋体" w:eastAsia="宋体" w:cs="宋体"/>
          <w:color w:val="auto"/>
          <w:sz w:val="21"/>
          <w:szCs w:val="21"/>
          <w:u w:val="single"/>
        </w:rPr>
        <w:t>发包人上报建设行政主管部门进行相应处罚，向发包人支付</w:t>
      </w:r>
      <w:r>
        <w:rPr>
          <w:rFonts w:hint="eastAsia" w:ascii="宋体" w:hAnsi="宋体" w:eastAsia="宋体" w:cs="宋体"/>
          <w:color w:val="auto"/>
          <w:sz w:val="21"/>
          <w:szCs w:val="21"/>
          <w:u w:val="single"/>
          <w:lang w:val="en-US" w:eastAsia="zh-CN"/>
        </w:rPr>
        <w:t>10000</w:t>
      </w:r>
      <w:r>
        <w:rPr>
          <w:rFonts w:hint="eastAsia" w:ascii="宋体" w:hAnsi="宋体" w:eastAsia="宋体" w:cs="宋体"/>
          <w:color w:val="auto"/>
          <w:sz w:val="21"/>
          <w:szCs w:val="21"/>
          <w:u w:val="single"/>
        </w:rPr>
        <w:t>元/人/次违约金并根据其对发包人造成经济损失的程度予以赔偿直至解除合同</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在承包人撤换到位前发包人有权顺延支付其相应工程款。</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3.3.4  承包人主要施工管理人员离开施工现场的批准要求：</w:t>
      </w:r>
      <w:r>
        <w:rPr>
          <w:rFonts w:hint="eastAsia" w:ascii="宋体" w:hAnsi="宋体" w:eastAsia="宋体" w:cs="宋体"/>
          <w:color w:val="auto"/>
          <w:sz w:val="21"/>
          <w:szCs w:val="21"/>
          <w:u w:val="single"/>
        </w:rPr>
        <w:t xml:space="preserve">承包人的主要施工管理人员（五大员）离开现场前应指定有经验的管理人员临时替代其职，该人员应具备履行相应职责的资格和能力，并征得监理人和发包人书面同意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发包人上报建设行政主管部门进行相应处罚，并在人员到位履约保证金中扣除，其标准是：500元/人/次，并根据其对发包人造成经济损失的程度予以赔偿直至解除合同。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 xml:space="preserve">承包人的主要施工管理人员（五大员每人每月到位率不少于27日历天/月，未征得监理人和发包人同意擅自离开施工现场进行相应处罚，并在人员到位履约保证金中扣除，其标准是：缺岗：500元/人/次。累计缺岗3天及以上，发包人有权按违约处理，将扣完承包人人员全部到位率保证金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前述保证金扣除的，承包人应在收到补齐通知后3日内予以补齐，否则每逾期一天，发包人有权向承包人收取以全部未付款为基数按万分之五计算的违约金。前述款项，发包人有权直接从应付的工程款中予以扣除。</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3.5  分包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3.5.1  分包的一般约定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禁止分包的工程包括：本工程主体结构不得分包。承包人资质范围以内的工程未经发包人书面同意不得分包，如果承包人未经发包人书面同意而自行分包、转包，一经发现并查实，发包人有权解除合同并没收全部履约保证金作为违约金，给发包人造成损失的，承包人还应负责赔偿。</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墙面改造、店招、屋面改造等以及图纸和规范要求</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3.5.2  分包的确定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按通用条款相关约定执行</w:t>
      </w:r>
      <w:r>
        <w:rPr>
          <w:rFonts w:hint="eastAsia" w:ascii="宋体" w:hAnsi="宋体" w:eastAsia="宋体" w:cs="宋体"/>
          <w:color w:val="auto"/>
          <w:sz w:val="21"/>
          <w:szCs w:val="21"/>
        </w:rPr>
        <w:t>。承包人分包工程须经发包人书面同意。</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如果承包人未按相应法律法规流程自行分包，一经发现并查实，发包人有权解除合同并由承包人承担由此造成的一切责任和损失，且发包人有权上报建设行政主管部门依法进行处罚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3.5.3  分包合同价款</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关于分包合同价款支付的约定：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按通用条款相关约定执行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承包人负责照管工程及工程相关的材料、工程设备的起始时间：</w:t>
      </w:r>
      <w:r>
        <w:rPr>
          <w:rFonts w:hint="eastAsia" w:ascii="宋体" w:hAnsi="宋体" w:eastAsia="宋体" w:cs="宋体"/>
          <w:color w:val="auto"/>
          <w:sz w:val="21"/>
          <w:szCs w:val="21"/>
          <w:u w:val="single"/>
        </w:rPr>
        <w:t>发包人向承包人移交施工现场之日起，承包人应负责照管工程及工程相关的材料、工程设备，直到颁发工程接收证书之日止，并由承包人承担相应费用。保护期间发生损坏的，承包人承担修复费用。施工期间因承包人原因造成现场所有材料、设施设备、成品、半成品（包括承包人自身及其他工程，包括但不限于：土建、装饰、安装、室外附属工程等）被盗、损坏的，由承包人负责赔偿，发包人有权直接从进度款中扣除相关损失费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3.7  履约担保</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 xml:space="preserve">      是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承包人提供履约担保的形式、金额及期限的，采用以下第</w:t>
      </w:r>
      <w:r>
        <w:rPr>
          <w:rFonts w:hint="eastAsia" w:ascii="宋体" w:hAnsi="宋体" w:eastAsia="宋体" w:cs="宋体"/>
          <w:color w:val="auto"/>
          <w:sz w:val="21"/>
          <w:szCs w:val="21"/>
          <w:u w:val="single"/>
        </w:rPr>
        <w:t xml:space="preserve"> （2）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种方式：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 xml:space="preserve">保证保险，金额及期限为：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银行保函，金额及期限为：采用银行保函形式（政府相关文件注明的除外），担保金额为合同总价款的</w:t>
      </w:r>
      <w:r>
        <w:rPr>
          <w:rFonts w:hint="eastAsia" w:ascii="宋体" w:hAnsi="宋体" w:eastAsia="宋体" w:cs="宋体"/>
          <w:color w:val="auto"/>
          <w:sz w:val="21"/>
          <w:szCs w:val="21"/>
          <w:u w:val="single"/>
          <w:lang w:val="en-US" w:eastAsia="zh-CN"/>
        </w:rPr>
        <w:t>2</w:t>
      </w:r>
      <w:r>
        <w:rPr>
          <w:rFonts w:hint="eastAsia" w:ascii="宋体" w:hAnsi="宋体" w:eastAsia="宋体" w:cs="宋体"/>
          <w:color w:val="auto"/>
          <w:sz w:val="21"/>
          <w:szCs w:val="21"/>
          <w:u w:val="single"/>
        </w:rPr>
        <w:t>%（其中工程质量履约保证金占履约保证金总额的</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0%；工期履约保证金占履约保证金总额的</w:t>
      </w:r>
      <w:r>
        <w:rPr>
          <w:rFonts w:hint="eastAsia" w:ascii="宋体" w:hAnsi="宋体" w:eastAsia="宋体" w:cs="宋体"/>
          <w:color w:val="auto"/>
          <w:sz w:val="21"/>
          <w:szCs w:val="21"/>
          <w:u w:val="single"/>
          <w:lang w:val="en-US" w:eastAsia="zh-CN"/>
        </w:rPr>
        <w:t>2</w:t>
      </w:r>
      <w:r>
        <w:rPr>
          <w:rFonts w:hint="eastAsia" w:ascii="宋体" w:hAnsi="宋体" w:eastAsia="宋体" w:cs="宋体"/>
          <w:color w:val="auto"/>
          <w:sz w:val="21"/>
          <w:szCs w:val="21"/>
          <w:u w:val="single"/>
        </w:rPr>
        <w:t>0%；安全、文明施工履约保证金占履约保证金总额的</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0%；项目班子到位履约保证金占履约保证金总额的</w:t>
      </w:r>
      <w:r>
        <w:rPr>
          <w:rFonts w:hint="eastAsia" w:ascii="宋体" w:hAnsi="宋体" w:eastAsia="宋体" w:cs="宋体"/>
          <w:color w:val="auto"/>
          <w:sz w:val="21"/>
          <w:szCs w:val="21"/>
          <w:u w:val="single"/>
          <w:lang w:val="en-US" w:eastAsia="zh-CN"/>
        </w:rPr>
        <w:t>2</w:t>
      </w:r>
      <w:r>
        <w:rPr>
          <w:rFonts w:hint="eastAsia" w:ascii="宋体" w:hAnsi="宋体" w:eastAsia="宋体" w:cs="宋体"/>
          <w:color w:val="auto"/>
          <w:sz w:val="21"/>
          <w:szCs w:val="21"/>
          <w:u w:val="single"/>
        </w:rPr>
        <w:t xml:space="preserve">0%）。履约担保从签订本合同至竣工验收合格后90天内有效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 xml:space="preserve">其他方式:             /                        </w:t>
      </w:r>
      <w:r>
        <w:rPr>
          <w:rFonts w:hint="eastAsia" w:ascii="宋体" w:hAnsi="宋体" w:eastAsia="宋体" w:cs="宋体"/>
          <w:color w:val="auto"/>
          <w:sz w:val="21"/>
          <w:szCs w:val="21"/>
        </w:rPr>
        <w:t>。</w:t>
      </w:r>
    </w:p>
    <w:p>
      <w:pPr>
        <w:pStyle w:val="5"/>
        <w:spacing w:before="120" w:after="120" w:line="360" w:lineRule="auto"/>
        <w:rPr>
          <w:rFonts w:hint="eastAsia" w:ascii="宋体" w:hAnsi="宋体" w:eastAsia="宋体" w:cs="宋体"/>
          <w:b w:val="0"/>
          <w:color w:val="auto"/>
          <w:sz w:val="21"/>
          <w:szCs w:val="21"/>
        </w:rPr>
      </w:pPr>
      <w:bookmarkStart w:id="468" w:name="_Toc160553148"/>
      <w:r>
        <w:rPr>
          <w:rFonts w:hint="eastAsia" w:ascii="宋体" w:hAnsi="宋体" w:eastAsia="宋体" w:cs="宋体"/>
          <w:b w:val="0"/>
          <w:color w:val="auto"/>
          <w:sz w:val="21"/>
          <w:szCs w:val="21"/>
        </w:rPr>
        <w:t>4</w:t>
      </w:r>
      <w:bookmarkStart w:id="469" w:name="_Toc296944501"/>
      <w:bookmarkStart w:id="470" w:name="_Toc296890990"/>
      <w:bookmarkStart w:id="471" w:name="_Toc296891202"/>
      <w:bookmarkStart w:id="472" w:name="_Toc296347161"/>
      <w:bookmarkStart w:id="473" w:name="_Toc292559366"/>
      <w:bookmarkStart w:id="474" w:name="_Toc297120462"/>
      <w:bookmarkStart w:id="475" w:name="_Toc267251413"/>
      <w:bookmarkStart w:id="476" w:name="_Toc292559871"/>
      <w:bookmarkStart w:id="477" w:name="_Toc296503162"/>
      <w:bookmarkStart w:id="478" w:name="_Toc296346663"/>
      <w:bookmarkStart w:id="479" w:name="_Toc297048348"/>
      <w:r>
        <w:rPr>
          <w:rFonts w:hint="eastAsia" w:ascii="宋体" w:hAnsi="宋体" w:eastAsia="宋体" w:cs="宋体"/>
          <w:b w:val="0"/>
          <w:color w:val="auto"/>
          <w:sz w:val="21"/>
          <w:szCs w:val="21"/>
        </w:rPr>
        <w:t>. 监</w:t>
      </w:r>
      <w:bookmarkEnd w:id="469"/>
      <w:bookmarkEnd w:id="470"/>
      <w:bookmarkEnd w:id="471"/>
      <w:bookmarkEnd w:id="472"/>
      <w:bookmarkEnd w:id="473"/>
      <w:bookmarkEnd w:id="474"/>
      <w:bookmarkEnd w:id="475"/>
      <w:bookmarkEnd w:id="476"/>
      <w:bookmarkEnd w:id="477"/>
      <w:bookmarkEnd w:id="478"/>
      <w:bookmarkEnd w:id="479"/>
      <w:r>
        <w:rPr>
          <w:rFonts w:hint="eastAsia" w:ascii="宋体" w:hAnsi="宋体" w:eastAsia="宋体" w:cs="宋体"/>
          <w:b w:val="0"/>
          <w:color w:val="auto"/>
          <w:sz w:val="21"/>
          <w:szCs w:val="21"/>
        </w:rPr>
        <w:t>理人</w:t>
      </w:r>
      <w:bookmarkEnd w:id="468"/>
    </w:p>
    <w:p>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4.1监理人的一般规定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按照国家监理规范要求及通用条款相关约定，对工程质量、进度、投资、安全、信息管理、合同管理、组织协调等进行全过程管理，具体以监理合同为准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 xml:space="preserve">按监理合同和建设工程监理规范中有关发包人授权给监理的职权 ，但涉及工程设计变更、工程量增减、工程造价变更、工程款支付方式变更、工程质量验收、工期变更、索赔等的文件，均应经发包人签字盖章方才有效。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监理人在施工现场的办公场所、生活场所由承包人提供，所发生的费用由承包人承担。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4.2  监理人员</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总监理工程师：</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职务：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关于监理人的其他约定：</w:t>
      </w:r>
      <w:r>
        <w:rPr>
          <w:rFonts w:hint="eastAsia" w:ascii="宋体" w:hAnsi="宋体" w:eastAsia="宋体" w:cs="宋体"/>
          <w:color w:val="auto"/>
          <w:sz w:val="21"/>
          <w:szCs w:val="21"/>
          <w:u w:val="single"/>
        </w:rPr>
        <w:t xml:space="preserve">按监理合同执行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4.3 商定或确定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在发包人和承包人不能通过协商达成一致意见时，发包人授权监理人对以下事项进行确定：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  工程质量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5.1  质量要求</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5.1.1  特殊质量标准和要求：</w:t>
      </w:r>
      <w:r>
        <w:rPr>
          <w:rFonts w:hint="eastAsia" w:ascii="宋体" w:hAnsi="宋体" w:eastAsia="宋体" w:cs="宋体"/>
          <w:color w:val="auto"/>
          <w:sz w:val="21"/>
          <w:szCs w:val="21"/>
          <w:u w:val="single"/>
        </w:rPr>
        <w:t xml:space="preserve">（1）合格并符合招标文件所提出的质量要求。（2）室内装修工程竣工验收时，需达到《室内空气质量标准》(GB/T18883—2002)和《民用建筑工程室内环境污染控制规范》GB50325-2001，并提供合格的检测报告。（3）塑胶工程要严格按照西教发[2016]107号文件实施，并提供合格的检测报告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5.2关于工程奖项的约定：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5.3  隐蔽工程检查</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5.3.1 承包人提前通知监理人隐蔽工程检查的期限的约定：</w:t>
      </w:r>
      <w:r>
        <w:rPr>
          <w:rFonts w:hint="eastAsia" w:ascii="宋体" w:hAnsi="宋体" w:eastAsia="宋体" w:cs="宋体"/>
          <w:color w:val="auto"/>
          <w:sz w:val="21"/>
          <w:szCs w:val="21"/>
          <w:u w:val="single"/>
        </w:rPr>
        <w:t>承包人应在共同检查前48小时书面通知监理人检查，通知中应载明隐蔽检查的内容、时间和地点，并应附有自检记录和必要的检查资料。经验收合格并签字后方可进行隐蔽和继续施工（质检员应全程陪同监理等人员进行各种隐蔽验收工作），不合格的，承包人在限定期限内整改后重新组织验收，并承担由此发生的费用，且工期不予顺延。重要的工程隐蔽验收应通知质监站及设计单位共同参加验收。若隐蔽工程和中间验收存在质量问题，承包人未按要求进行及时整改，发包人将不予支付当期进度款。</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u w:val="single"/>
        </w:rPr>
        <w:t>双方约定中间验收部位按杭州市西湖区建设工程质量安全监督站有关要求执行。根据本工程特点，隐蔽工程须监理人验收后方可进行下道工序的施工。未经监理人验收或验收不合格而擅自进入下道工序施工，除要求停工整顿外并拆除返工外，每次罚款20000元，相应费用由承包人承担，且工期不予顺延。如果发现承包人在验收合格后到隐蔽施工前，对合格部分做任何改动，应重新进行验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安全文明施工与环境保护</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  安全文明施工</w:t>
      </w:r>
    </w:p>
    <w:p>
      <w:pPr>
        <w:spacing w:line="400" w:lineRule="exact"/>
        <w:ind w:firstLine="420" w:firstLineChars="200"/>
        <w:rPr>
          <w:rFonts w:hint="eastAsia" w:ascii="宋体" w:hAnsi="宋体" w:eastAsia="宋体" w:cs="宋体"/>
          <w:b/>
          <w:color w:val="auto"/>
          <w:sz w:val="21"/>
          <w:szCs w:val="21"/>
          <w:u w:val="single"/>
        </w:rPr>
      </w:pPr>
      <w:r>
        <w:rPr>
          <w:rFonts w:hint="eastAsia" w:ascii="宋体" w:hAnsi="宋体" w:eastAsia="宋体" w:cs="宋体"/>
          <w:color w:val="auto"/>
          <w:sz w:val="21"/>
          <w:szCs w:val="21"/>
        </w:rPr>
        <w:t>6.1.1  项目安全生产的达标目标及相应事项的约定：</w:t>
      </w:r>
      <w:r>
        <w:rPr>
          <w:rFonts w:hint="eastAsia" w:ascii="宋体" w:hAnsi="宋体" w:eastAsia="宋体" w:cs="宋体"/>
          <w:b/>
          <w:color w:val="auto"/>
          <w:sz w:val="21"/>
          <w:szCs w:val="21"/>
          <w:u w:val="single"/>
        </w:rPr>
        <w:t>施工现场按照《建筑施工安全检查标准》（JGJ59-2011）评定达到“合格”标准或《市政工程施工安全检查标准》（CJJ/T 275-2018）评定达到“合格”标准。承包人必须严格遵守和执行中华人民共和国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承包人人员在工地现场发生打架、破坏污染建筑单体的行为，发包人将视责任程度每次处以</w:t>
      </w:r>
      <w:r>
        <w:rPr>
          <w:rFonts w:hint="eastAsia" w:ascii="宋体" w:hAnsi="宋体" w:eastAsia="宋体" w:cs="宋体"/>
          <w:b/>
          <w:color w:val="auto"/>
          <w:sz w:val="21"/>
          <w:szCs w:val="21"/>
          <w:u w:val="single"/>
          <w:lang w:val="en-US" w:eastAsia="zh-CN"/>
        </w:rPr>
        <w:t>20000</w:t>
      </w:r>
      <w:r>
        <w:rPr>
          <w:rFonts w:hint="eastAsia" w:ascii="宋体" w:hAnsi="宋体" w:eastAsia="宋体" w:cs="宋体"/>
          <w:b/>
          <w:color w:val="auto"/>
          <w:sz w:val="21"/>
          <w:szCs w:val="21"/>
          <w:u w:val="single"/>
        </w:rPr>
        <w:t>元的违约金，对造成的损失由承包人照价赔偿。不定期进行安全文明施工检查，承包人应及时整改，被一次警告后不作处罚，限期整改，被二次警告后扣除相应比例的文明施工费</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6.1.2  关于治安保卫的特别约定：按照杭州市当地建筑工地安全文明施工管理规定执行。承包人应加强施工的安全生产管理，制定安全操作规程，保证工程施工的安全，承包人应教育其职工进行文明施工，配备必要的安全生产设施和劳动保护用具。在工地现场做好警戒告示牌，提醒进入施工现场人员的注意。承包人必须对施工现场的用电安全负责，施工现场用电必须遵照杭州市建委颁布的施工现场用电管理条例执行。承包人应对其管辖范围内的人员和设备（包括业主及监理单位的人员和设备）以及工程的安全负责，应负责做好其所辖人员的工作场所和居住区的日常治安管理和安全保护工作。承包人负责施工区域范围内的交通组织、做好治安管理及保卫工作，安排专人对进出施工区域范围内的人员和车辆进行管理，杜绝治安事件的发生，如由于承包人安全措施不力造成事故的责任和由此发生的费用，包括给发包人或其他单位造成的损失均由承包人承担。出现治安事件，承包人应第一时间报警，如存在承包人对内管理不到位导致自身民工或管理人员与当地居民或其他人员产生冲突，处罚10万元/次，且承包人无条件赔偿相关损失。承包人夜间组织至少4人（至少分成两队）对所施工区域范围进行治安巡逻，其中必须有两名管理人员带队。如经抽查发现未按要求落实，则处罚1万元/次。对于立面整治阶段，要求巡逻人员加强检查，防止不法分子通过攀爬脚手架盗窃居民财务。同时要求承包人做好与居民的安全交底和书面告知工作。以上内容发生的费用和责任全部由承包人承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6.1.2  文明施工</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合同当事人对文明施工的要求：</w:t>
      </w:r>
    </w:p>
    <w:p>
      <w:pPr>
        <w:spacing w:line="400" w:lineRule="exact"/>
        <w:ind w:firstLine="420" w:firstLineChars="200"/>
        <w:rPr>
          <w:rFonts w:hint="eastAsia" w:ascii="宋体" w:hAnsi="宋体" w:eastAsia="宋体" w:cs="宋体"/>
          <w:color w:val="auto"/>
          <w:sz w:val="21"/>
          <w:szCs w:val="21"/>
          <w:u w:val="single"/>
          <w:lang w:val="zh-CN"/>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lang w:val="zh-CN"/>
        </w:rPr>
        <w:t>遵守地方政府和有关部门对施工场地交通、环卫、安全和施工噪音等管理规定，并办理相关审批手续</w:t>
      </w:r>
      <w:r>
        <w:rPr>
          <w:rFonts w:hint="eastAsia" w:ascii="宋体" w:hAnsi="宋体" w:eastAsia="宋体" w:cs="宋体"/>
          <w:color w:val="auto"/>
          <w:sz w:val="21"/>
          <w:szCs w:val="21"/>
          <w:lang w:val="zh-CN"/>
        </w:rPr>
        <w:t>。</w:t>
      </w:r>
    </w:p>
    <w:p>
      <w:pPr>
        <w:spacing w:line="400" w:lineRule="exact"/>
        <w:ind w:firstLine="420" w:firstLineChars="20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u w:val="single"/>
          <w:lang w:val="zh-CN"/>
        </w:rPr>
        <w:t>承包人应采取有效措施尽量减小尘土和噪音污染，需要进行夜间作业时应经有关部门批准</w:t>
      </w:r>
      <w:r>
        <w:rPr>
          <w:rFonts w:hint="eastAsia" w:ascii="宋体" w:hAnsi="宋体" w:eastAsia="宋体" w:cs="宋体"/>
          <w:color w:val="auto"/>
          <w:sz w:val="21"/>
          <w:szCs w:val="21"/>
          <w:lang w:val="zh-CN"/>
        </w:rPr>
        <w:t>。</w:t>
      </w:r>
    </w:p>
    <w:p>
      <w:pPr>
        <w:spacing w:line="400" w:lineRule="exact"/>
        <w:ind w:firstLine="420" w:firstLineChars="200"/>
        <w:rPr>
          <w:rFonts w:hint="eastAsia" w:ascii="宋体" w:hAnsi="宋体" w:eastAsia="宋体" w:cs="宋体"/>
          <w:color w:val="auto"/>
          <w:sz w:val="21"/>
          <w:szCs w:val="21"/>
          <w:u w:val="single"/>
          <w:lang w:val="zh-CN"/>
        </w:rPr>
      </w:pPr>
      <w:r>
        <w:rPr>
          <w:rFonts w:hint="eastAsia" w:ascii="宋体" w:hAnsi="宋体" w:eastAsia="宋体" w:cs="宋体"/>
          <w:color w:val="auto"/>
          <w:sz w:val="21"/>
          <w:szCs w:val="21"/>
          <w:lang w:val="zh-CN"/>
        </w:rPr>
        <w:t>（3）</w:t>
      </w:r>
      <w:r>
        <w:rPr>
          <w:rFonts w:hint="eastAsia" w:ascii="宋体" w:hAnsi="宋体" w:eastAsia="宋体" w:cs="宋体"/>
          <w:color w:val="auto"/>
          <w:sz w:val="21"/>
          <w:szCs w:val="21"/>
          <w:u w:val="single"/>
          <w:lang w:val="zh-CN"/>
        </w:rPr>
        <w:t>其他：①承包人应严格按照《建设工程安全生产管理条例》及“杭州市双标化工地”的要求组织施工，遵守工程建设安全文明施工的有关规定，认真落实各项安全保护措施，并随时接受发包人或监理工程师及有关部门的监督检查。②承包人应对进入施工现场的施工人员进行人员安全文明施工教育，持证上岗，配备必须的劳动保护用具，保证工程的施工安全和人身安全。③承包人应强化安全意识，抓好安全生产，杜绝事故发生，施工中若发生安全及人身事故均由承包人自行负责处理，并承担全部费用。④发包人或监理工程师有权对承包人的安全施工状况进行检查，发现有违反安全施工情况的，有权提出整改要求，承包人须按要求进行整改。⑤合同签订时，承包人应与发包人签订《安全施工责任书》，作为本合同附件。⑥承包人必须严格遵守和执行中华人民共和国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r>
        <w:rPr>
          <w:rFonts w:hint="eastAsia" w:ascii="宋体" w:hAnsi="宋体" w:eastAsia="宋体" w:cs="宋体"/>
          <w:color w:val="auto"/>
          <w:sz w:val="21"/>
          <w:szCs w:val="21"/>
          <w:lang w:val="zh-CN"/>
        </w:rPr>
        <w:t>。</w:t>
      </w:r>
    </w:p>
    <w:p>
      <w:pPr>
        <w:spacing w:line="400" w:lineRule="exact"/>
        <w:ind w:firstLine="420" w:firstLineChars="200"/>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（4）</w:t>
      </w:r>
      <w:r>
        <w:rPr>
          <w:rFonts w:hint="eastAsia" w:ascii="宋体" w:hAnsi="宋体" w:eastAsia="宋体" w:cs="宋体"/>
          <w:color w:val="auto"/>
          <w:sz w:val="21"/>
          <w:szCs w:val="21"/>
          <w:u w:val="single"/>
          <w:lang w:val="zh-CN"/>
        </w:rPr>
        <w:t>上述手续办理费用约定如下：上述费用承包人已在投标报价中包干，发生重大伤亡事故或其他事故，承包人应及时上报发包人，并承担全部赔偿责任</w:t>
      </w:r>
      <w:r>
        <w:rPr>
          <w:rFonts w:hint="eastAsia" w:ascii="宋体" w:hAnsi="宋体" w:eastAsia="宋体" w:cs="宋体"/>
          <w:color w:val="auto"/>
          <w:sz w:val="21"/>
          <w:szCs w:val="21"/>
          <w:lang w:val="zh-CN"/>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6.1.3  关于安全文明施工费支付比例和支付期限的约定，按以下</w:t>
      </w:r>
      <w:r>
        <w:rPr>
          <w:rFonts w:hint="eastAsia" w:ascii="宋体" w:hAnsi="宋体" w:eastAsia="宋体" w:cs="宋体"/>
          <w:color w:val="auto"/>
          <w:sz w:val="21"/>
          <w:szCs w:val="21"/>
          <w:u w:val="single"/>
        </w:rPr>
        <w:t>第（  1  ）种方式</w:t>
      </w:r>
      <w:r>
        <w:rPr>
          <w:rFonts w:hint="eastAsia" w:ascii="宋体" w:hAnsi="宋体" w:eastAsia="宋体" w:cs="宋体"/>
          <w:color w:val="auto"/>
          <w:sz w:val="21"/>
          <w:szCs w:val="21"/>
        </w:rPr>
        <w:t>约定：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 xml:space="preserve">发包人应在开工后28天内预付安全文明施工费总额的60%，剩余部分支付按以下第（  </w:t>
      </w:r>
      <w:r>
        <w:rPr>
          <w:rFonts w:hint="eastAsia" w:ascii="宋体" w:hAnsi="宋体" w:eastAsia="宋体" w:cs="宋体"/>
          <w:color w:val="auto"/>
          <w:sz w:val="21"/>
          <w:szCs w:val="21"/>
        </w:rPr>
        <w:t>①</w:t>
      </w:r>
      <w:r>
        <w:rPr>
          <w:rFonts w:hint="eastAsia" w:ascii="宋体" w:hAnsi="宋体" w:eastAsia="宋体" w:cs="宋体"/>
          <w:color w:val="auto"/>
          <w:sz w:val="21"/>
          <w:szCs w:val="21"/>
          <w:u w:val="single"/>
        </w:rPr>
        <w:t xml:space="preserve">  ）种方式约定：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①</w:t>
      </w:r>
      <w:r>
        <w:rPr>
          <w:rFonts w:hint="eastAsia" w:ascii="宋体" w:hAnsi="宋体" w:eastAsia="宋体" w:cs="宋体"/>
          <w:color w:val="auto"/>
          <w:sz w:val="21"/>
          <w:szCs w:val="21"/>
          <w:u w:val="single"/>
        </w:rPr>
        <w:t>视相关措施的落实情况与进度款同期支付</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②</w:t>
      </w:r>
      <w:r>
        <w:rPr>
          <w:rFonts w:hint="eastAsia" w:ascii="宋体" w:hAnsi="宋体" w:eastAsia="宋体" w:cs="宋体"/>
          <w:color w:val="auto"/>
          <w:sz w:val="21"/>
          <w:szCs w:val="21"/>
          <w:u w:val="single"/>
        </w:rPr>
        <w:t xml:space="preserve">其他：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（2）其他：                  /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6.1.4 承包人在进行施工时，不得对原有的房屋建筑、景观带、设施设备等其他财物造成破坏，否则由承包人进行维修或赔偿。</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6.1.5 工程结束或合同终止后，承包人应在发包人指令的时间内、根据发包人的要求，撤出施工现场内设备物品，清理施工现场的垃圾。</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  工期和进度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  施工组织设计</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7.1.1  合同当事人约定的施工组织设计应包括的其他内容：</w:t>
      </w:r>
      <w:r>
        <w:rPr>
          <w:rFonts w:hint="eastAsia" w:ascii="宋体" w:hAnsi="宋体" w:eastAsia="宋体" w:cs="宋体"/>
          <w:color w:val="auto"/>
          <w:sz w:val="21"/>
          <w:szCs w:val="21"/>
          <w:u w:val="single"/>
        </w:rPr>
        <w:t xml:space="preserve">在合同签署后7天内，承包人向监理人提交2份格式和内容等均符合监理人规定以及为完成该计划而建议采用的实施性的施工安排和施工方案说明（包括但不限于①专业性较强的专项工程安全施工组织设计②安全技术措施③施工现场临时用水、电方案④达到规定规模的危险性较大的作业等）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7.1.2  施工组织设计的提交和修改</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承包人提交详细施工组织设计的期限的约定：</w:t>
      </w:r>
      <w:r>
        <w:rPr>
          <w:rFonts w:hint="eastAsia" w:ascii="宋体" w:hAnsi="宋体" w:eastAsia="宋体" w:cs="宋体"/>
          <w:b/>
          <w:color w:val="auto"/>
          <w:sz w:val="21"/>
          <w:szCs w:val="21"/>
          <w:u w:val="single"/>
        </w:rPr>
        <w:t>合同签订后（7）天内提供详细施工组织设计（施工方案）和进度计划</w:t>
      </w:r>
      <w:r>
        <w:rPr>
          <w:rFonts w:hint="eastAsia" w:ascii="宋体" w:hAnsi="宋体" w:eastAsia="宋体" w:cs="宋体"/>
          <w:b/>
          <w:color w:val="auto"/>
          <w:sz w:val="21"/>
          <w:szCs w:val="21"/>
        </w:rPr>
        <w:t>。</w:t>
      </w:r>
    </w:p>
    <w:p>
      <w:pPr>
        <w:spacing w:line="400" w:lineRule="exact"/>
        <w:ind w:firstLine="420" w:firstLineChars="200"/>
        <w:rPr>
          <w:rFonts w:hint="eastAsia" w:ascii="宋体" w:hAnsi="宋体" w:eastAsia="宋体" w:cs="宋体"/>
          <w:bCs/>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收到详细施工组织设计后7天内确认或提出修改意见</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提出修改意见的，承包人应在收到修改意见后</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日内再行提交审核。监理及发包人对施工组织设计方案的确认是对施工组织设计方案可行性的确认，并不是对所涉费用的确认，也不减轻或免除承包人对施工组织设计方案应承担的责任。</w:t>
      </w:r>
      <w:r>
        <w:rPr>
          <w:rFonts w:hint="eastAsia" w:ascii="宋体" w:hAnsi="宋体" w:eastAsia="宋体" w:cs="宋体"/>
          <w:bCs/>
          <w:color w:val="auto"/>
          <w:sz w:val="21"/>
          <w:szCs w:val="21"/>
          <w:u w:val="single"/>
        </w:rPr>
        <w:t>如承包人无故拖延提供施工组织设计的，发包人有权要求承包人支付</w:t>
      </w:r>
      <w:r>
        <w:rPr>
          <w:rFonts w:hint="eastAsia" w:ascii="宋体" w:hAnsi="宋体" w:eastAsia="宋体" w:cs="宋体"/>
          <w:bCs/>
          <w:color w:val="auto"/>
          <w:sz w:val="21"/>
          <w:szCs w:val="21"/>
          <w:u w:val="single"/>
          <w:lang w:val="en-US" w:eastAsia="zh-CN"/>
        </w:rPr>
        <w:t>5000元</w:t>
      </w:r>
      <w:r>
        <w:rPr>
          <w:rFonts w:hint="eastAsia" w:ascii="宋体" w:hAnsi="宋体" w:eastAsia="宋体" w:cs="宋体"/>
          <w:bCs/>
          <w:color w:val="auto"/>
          <w:sz w:val="21"/>
          <w:szCs w:val="21"/>
          <w:u w:val="single"/>
        </w:rPr>
        <w:t>的违约金。</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7.2  施工进度计划</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7.2.1  施工进度计划的修订</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收到修订的施工进度计划后7天内确认或提出修改意见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提出修改意见的，承包人应在收到修改意见后</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日内再行提交审核。如承包人无故拖延提供施工组织设计的，发包人有权要求承包人支付</w:t>
      </w:r>
      <w:r>
        <w:rPr>
          <w:rFonts w:hint="eastAsia" w:ascii="宋体" w:hAnsi="宋体" w:eastAsia="宋体" w:cs="宋体"/>
          <w:color w:val="auto"/>
          <w:sz w:val="21"/>
          <w:szCs w:val="21"/>
          <w:u w:val="single"/>
          <w:lang w:val="en-US" w:eastAsia="zh-CN"/>
        </w:rPr>
        <w:t>5000元</w:t>
      </w:r>
      <w:r>
        <w:rPr>
          <w:rFonts w:hint="eastAsia" w:ascii="宋体" w:hAnsi="宋体" w:eastAsia="宋体" w:cs="宋体"/>
          <w:color w:val="auto"/>
          <w:sz w:val="21"/>
          <w:szCs w:val="21"/>
          <w:u w:val="single"/>
        </w:rPr>
        <w:t>的违约金。</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7.3  开工</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7.3.1  开工准备</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关于承包人提交工程开工报审表的期限：</w:t>
      </w:r>
      <w:r>
        <w:rPr>
          <w:rFonts w:hint="eastAsia" w:ascii="宋体" w:hAnsi="宋体" w:eastAsia="宋体" w:cs="宋体"/>
          <w:color w:val="auto"/>
          <w:sz w:val="21"/>
          <w:szCs w:val="21"/>
          <w:u w:val="single"/>
        </w:rPr>
        <w:t xml:space="preserve">开工日期前7天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 xml:space="preserve">开工日期前7天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7.3.2  开工通知</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因发包人原因造成监理人未能在计划开工日期之日起</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天内发出开工通知的，承包人有权提出价格调整要求，或者解除合同。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7.4  测量放线</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7.4.1  发包人通过监理人向承包人提供测量基准点、基准线和水准点及其书面资料的期限：</w:t>
      </w:r>
      <w:r>
        <w:rPr>
          <w:rFonts w:hint="eastAsia" w:ascii="宋体" w:hAnsi="宋体" w:eastAsia="宋体" w:cs="宋体"/>
          <w:color w:val="auto"/>
          <w:sz w:val="21"/>
          <w:szCs w:val="21"/>
          <w:u w:val="single"/>
        </w:rPr>
        <w:t xml:space="preserve">施工合同签订后7日内，发包人将水准点与坐标以书面形式交给承包人，进行现场交验，承包人接收后应对交验的坐标控制点与水准点进行复核并报监理审核。承包人负责对水准点与坐标的保护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7.5  工期延误</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7.5.1  因发包人原因导致工期延误</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因发包人原因导致工期延误的其他情形：</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①</w:t>
      </w:r>
      <w:r>
        <w:rPr>
          <w:rFonts w:hint="eastAsia" w:ascii="宋体" w:hAnsi="宋体" w:eastAsia="宋体" w:cs="宋体"/>
          <w:color w:val="auto"/>
          <w:sz w:val="21"/>
          <w:szCs w:val="21"/>
          <w:u w:val="single"/>
        </w:rPr>
        <w:t>重大设计变更引起的工期延误</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②</w:t>
      </w:r>
      <w:r>
        <w:rPr>
          <w:rFonts w:hint="eastAsia" w:ascii="宋体" w:hAnsi="宋体" w:eastAsia="宋体" w:cs="宋体"/>
          <w:color w:val="auto"/>
          <w:sz w:val="21"/>
          <w:szCs w:val="21"/>
          <w:u w:val="single"/>
        </w:rPr>
        <w:t>其他：a.必须是非承包人自身的原因造成的工期延误,发包人工程师才可以考虑是否受理承包人的延期申请，且同意必须经发包人和监理同时签证确认；b.若只是局部工程受到影响，承包人应采取适当措施予以弥补，而不能推迟工程的总工期；c.延期工程项目如果不在工程施工进度网络计划的关键线路上，即使是关键工序，工程师也不考虑延长工程总工期。</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工程延期的审批：如非承包方原因造成的连续停水、停电超过48小时的，经发包方核实并书面确认的，工期顺延，但以上所涉及的所有费用均由承包方承担。原则上，发包人工程师不接受承包人提出延长工期的申请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7.5.2 因承包人原因导致工期延误</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因承包人原因造成工期延误，逾期竣工违约金的计算方法为：</w:t>
      </w:r>
      <w:r>
        <w:rPr>
          <w:rFonts w:hint="eastAsia" w:ascii="宋体" w:hAnsi="宋体" w:eastAsia="宋体" w:cs="宋体"/>
          <w:color w:val="auto"/>
          <w:sz w:val="21"/>
          <w:szCs w:val="21"/>
          <w:u w:val="single"/>
        </w:rPr>
        <w:t>每延误一天，扣罚原合同款的万分之五误期赔偿费。误期时间从规定竣工日期起直到全部工程或相应部分工程的移交竣工报告的批准日期之间的天数(不足一天的按一天计算)。发包人可从应向承包人支付的结算工程款中扣除此项赔偿费，此赔偿费的支付并不能解除承包人应完成工程的责任或合同规定的其他责任</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因承包人原因造成工期延误，逾期竣工违约金的上限：</w:t>
      </w:r>
      <w:r>
        <w:rPr>
          <w:rFonts w:hint="eastAsia" w:ascii="宋体" w:hAnsi="宋体" w:eastAsia="宋体" w:cs="宋体"/>
          <w:color w:val="auto"/>
          <w:sz w:val="21"/>
          <w:szCs w:val="21"/>
          <w:u w:val="single"/>
        </w:rPr>
        <w:t>合同价的</w:t>
      </w:r>
      <w:r>
        <w:rPr>
          <w:rFonts w:hint="eastAsia" w:ascii="宋体" w:hAnsi="宋体" w:cs="宋体"/>
          <w:color w:val="auto"/>
          <w:sz w:val="21"/>
          <w:szCs w:val="21"/>
          <w:u w:val="single"/>
          <w:lang w:val="en-US" w:eastAsia="zh-CN"/>
        </w:rPr>
        <w:t>0.4</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7.6 不利物质条件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不利物质条件的其他情形和有关约定：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施工场地周围地下管线</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地下障碍物和污染物</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邻近建筑物、构筑物的保护要求</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 xml:space="preserve">其他：经勘察、设计单位认可并经发包人签证确认的情况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7.7异常恶劣的气候条件</w:t>
      </w:r>
    </w:p>
    <w:p>
      <w:pPr>
        <w:spacing w:line="400" w:lineRule="exact"/>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发包人和承包人同意以下情形视为异常恶劣的气候条件：</w:t>
      </w:r>
    </w:p>
    <w:p>
      <w:pPr>
        <w:spacing w:line="400" w:lineRule="exact"/>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 xml:space="preserve">日最高气温达到40度及以上的天气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 xml:space="preserve">启动台风橙色及以上的预警的天气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 xml:space="preserve">启动防汛预案一级响应的天气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 xml:space="preserve">启动防冻预案一级响应的天气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7.8  提前竣工的奖励</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7.8.1 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  材料与设备</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8.1  材料与工程设备的保管与使用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8.1.1  发包人供应的材料设备的保管费用的承担：发包人供应的材料和工程设备的保管费用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rPr>
        <w:t xml:space="preserve">招标文件中未明确的费用由承包人承担，发包人无需支付任何费用 </w:t>
      </w:r>
      <w:r>
        <w:rPr>
          <w:rFonts w:hint="eastAsia" w:ascii="宋体" w:hAnsi="宋体" w:eastAsia="宋体" w:cs="宋体"/>
          <w:color w:val="auto"/>
          <w:sz w:val="21"/>
          <w:szCs w:val="21"/>
        </w:rPr>
        <w:t>。承包人提交保管、维护方案的时间： 承包人应按说明书的相关规定对工程物资进行 保管、维护、保养，防止变形、变质、污染和对人身造成伤害。保管维护方案应包括： 工程物资分类和保管、保养、保安、领用制度，以及库房、特殊保管库房、堆场、道 路、照明、消防、设施、器具等规划。保管所需的一切费用，包含在合同价格内。承包 人提交的各设备、各分项的维保时间不得低于现行的国家及行业标准，且以最高标准为 维保时间。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8.1.2</w:t>
      </w:r>
      <w:r>
        <w:rPr>
          <w:rFonts w:hint="eastAsia" w:ascii="宋体" w:hAnsi="宋体" w:eastAsia="宋体" w:cs="宋体"/>
          <w:color w:val="auto"/>
          <w:sz w:val="21"/>
          <w:szCs w:val="21"/>
        </w:rPr>
        <w:t>承包人提供的材料和工程设备 材料和工程设备的类别、估算数量：合同有约定品牌或生产厂家或系列、规格的材 料（设备），承包人须按合同约定进行采购和供货。施工中如承包人遇材料（设备）因 实际情况需要变更的，以不降低工程品质为前提，经发包人、监理人同意，材料变更原则上应在招标文件推荐的品牌、规格范围内，价格不予调整</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竣工后试验的生产性材料的类别或（和）清单：试运行所需的材料、物资由承包人负责。 </w:t>
      </w:r>
    </w:p>
    <w:p>
      <w:pPr>
        <w:spacing w:line="40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 xml:space="preserve"> 材料和工程设备的保管  发包人提供的库房、堆场、设施和设备： 无 。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8.2  样品</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8.2.1  样品的报送与封存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需要承包人报送样品的材料或工程设备，样品的种类、名称、规格、数量要求：主要建 筑、安装材料（设备）采购前60天须按双方约定的品牌、系列、规格并经监理和发包人、</w:t>
      </w:r>
      <w:r>
        <w:rPr>
          <w:rFonts w:hint="eastAsia" w:ascii="宋体" w:hAnsi="宋体" w:eastAsia="宋体" w:cs="宋体"/>
          <w:color w:val="auto"/>
          <w:sz w:val="21"/>
          <w:szCs w:val="21"/>
          <w:u w:val="single"/>
        </w:rPr>
        <w:t>设计</w:t>
      </w:r>
      <w:r>
        <w:rPr>
          <w:rFonts w:hint="eastAsia" w:ascii="宋体" w:hAnsi="宋体" w:eastAsia="宋体" w:cs="宋体"/>
          <w:color w:val="auto"/>
          <w:sz w:val="21"/>
          <w:szCs w:val="21"/>
        </w:rPr>
        <w:t>书面签证予以认可后方可采购，进场主要材料经监理验收后方能用于本项目。发包人对承包人提供的样品不能满足设计要求或式样、颜色不满意或价格不合理（指市场的 实际价格和承包人所报价或与承包人投标时所报价相差较大），发包人有权要求承包人调换，直至发包人满意为止，引起的损失由承包人承担且不得以此理由要求顺延工期。</w:t>
      </w:r>
      <w:r>
        <w:rPr>
          <w:rFonts w:hint="eastAsia" w:ascii="宋体" w:hAnsi="宋体" w:eastAsia="宋体" w:cs="宋体"/>
          <w:color w:val="auto"/>
          <w:sz w:val="21"/>
          <w:szCs w:val="21"/>
          <w:u w:val="single"/>
        </w:rPr>
        <w:t>选定后，除发包人和监理人共同书面同意外，不得更换。</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8.3  施工设备和临时设施</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8.3.1  承包人提供的施工设备和临时设施</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按招标文件执行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  试验与检验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9.1试验设备与试验人员</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9.1.1 试验设备</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施工现场需要配置的试验场所：</w:t>
      </w:r>
      <w:r>
        <w:rPr>
          <w:rFonts w:hint="eastAsia" w:ascii="宋体" w:hAnsi="宋体" w:eastAsia="宋体" w:cs="宋体"/>
          <w:color w:val="auto"/>
          <w:sz w:val="21"/>
          <w:szCs w:val="21"/>
          <w:u w:val="single"/>
        </w:rPr>
        <w:t xml:space="preserve">由承包人提供符合相关规范要求的试验场所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由承包人提供符合相关规范要求的试验设备</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由承包人提供符合相关规范要求的试验条件</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9.2  材料、工程设备和工程的试验和检验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试验、检测单位资质条件约定：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试验、检测单位选择约定：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试验、检测费用约定：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9.3  现场工艺试验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  变更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10.1  变更的范围</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除设计变更及工程量清单的漏项、漏量等一些必要的变更，杜绝主观变更，并且所有的变更都必须按工程管理办法，先审批后实施的原则，否则都不得纳入结算</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10.2 变更估价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10.2.1  变更估价原则</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关于变更估价的约定:</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（1）</w:t>
      </w:r>
      <w:r>
        <w:rPr>
          <w:rFonts w:hint="eastAsia" w:ascii="宋体" w:hAnsi="宋体" w:eastAsia="宋体" w:cs="宋体"/>
          <w:b/>
          <w:color w:val="auto"/>
          <w:sz w:val="21"/>
          <w:szCs w:val="21"/>
          <w:u w:val="single"/>
        </w:rPr>
        <w:t>已标价工程量清单或预算书有相同项目的，按照相同项目单价确定</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（2）</w:t>
      </w:r>
      <w:r>
        <w:rPr>
          <w:rFonts w:hint="eastAsia" w:ascii="宋体" w:hAnsi="宋体" w:eastAsia="宋体" w:cs="宋体"/>
          <w:b/>
          <w:color w:val="auto"/>
          <w:sz w:val="21"/>
          <w:szCs w:val="21"/>
          <w:u w:val="single"/>
        </w:rPr>
        <w:t>已标价工程量清单或预算书中无相同项目，但有类似项目的，参照类似项目的单价确定</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（3）</w:t>
      </w:r>
      <w:r>
        <w:rPr>
          <w:rFonts w:hint="eastAsia" w:ascii="宋体" w:hAnsi="宋体" w:eastAsia="宋体" w:cs="宋体"/>
          <w:b/>
          <w:color w:val="auto"/>
          <w:sz w:val="21"/>
          <w:szCs w:val="21"/>
          <w:u w:val="single"/>
        </w:rPr>
        <w:t>已标价工程量清单或预算书中无相同项目及类似项目单价的，其单价的确定，按以下约定：</w:t>
      </w:r>
      <w:r>
        <w:rPr>
          <w:rFonts w:hint="eastAsia" w:ascii="宋体" w:hAnsi="宋体" w:eastAsia="宋体" w:cs="宋体"/>
          <w:b/>
          <w:bCs/>
          <w:color w:val="auto"/>
          <w:sz w:val="21"/>
          <w:szCs w:val="21"/>
          <w:highlight w:val="none"/>
          <w:u w:val="single"/>
        </w:rPr>
        <w:t>参照本合同12.1相关条款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（4）</w:t>
      </w:r>
      <w:r>
        <w:rPr>
          <w:rFonts w:hint="eastAsia" w:ascii="宋体" w:hAnsi="宋体" w:eastAsia="宋体" w:cs="宋体"/>
          <w:b/>
          <w:color w:val="auto"/>
          <w:sz w:val="21"/>
          <w:szCs w:val="21"/>
          <w:u w:val="single"/>
        </w:rPr>
        <w:t>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w:t>
      </w:r>
      <w:r>
        <w:rPr>
          <w:rFonts w:hint="eastAsia" w:ascii="宋体" w:hAnsi="宋体" w:eastAsia="宋体" w:cs="宋体"/>
          <w:b/>
          <w:color w:val="auto"/>
          <w:sz w:val="21"/>
          <w:szCs w:val="21"/>
          <w:highlight w:val="none"/>
          <w:u w:val="single"/>
        </w:rPr>
        <w:t xml:space="preserve">参照本合同12.1相关条款 </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（5）</w:t>
      </w:r>
      <w:r>
        <w:rPr>
          <w:rFonts w:hint="eastAsia" w:ascii="宋体" w:hAnsi="宋体" w:eastAsia="宋体" w:cs="宋体"/>
          <w:b/>
          <w:color w:val="auto"/>
          <w:sz w:val="21"/>
          <w:szCs w:val="21"/>
          <w:u w:val="single"/>
        </w:rPr>
        <w:t xml:space="preserve">其他：（1）工程变更联系单(包括设计变更联系单)须经发包人签认后方可生效。承包人未经发包人签认擅自进行变更所产生的后果由承包人承担。工程变更联系单在变更发生30天内承包人必须上报发包人进行签证审批，如未在规定时间30天内上报视承包人放弃该联系单造价作优惠处理。（2）凡涉及到产生费用的事项，承包人不能单独与设计方发生联系进行变更。（3）发包人的所有联系单先由本项目监理咨询方审核签字盖章确认，并由发包人二名或以上工程负责人签字并盖章后生效，承包人未经发包人签认擅自进行变更所产生的后果及费用由承包方承担。工程变更审批超过发包人审批权限的，承包人必须以书面形式提交发包人报有关部门审批后方可实施，否则审价(审计)部门有权拒绝超过发包人审批权限的变更金额，承包人放弃超过发包人审批权限变更金额的追溯权 </w:t>
      </w:r>
      <w:r>
        <w:rPr>
          <w:rFonts w:hint="eastAsia" w:ascii="宋体" w:hAnsi="宋体" w:eastAsia="宋体" w:cs="宋体"/>
          <w:b/>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10.3  承包人的合理化建议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监理人审查承包人合理化建议的期限：7天内审查完毕并报发包人。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发包人审批承包人合理化建议的期限：收到监理人报送的合理化建议后7天内审批完毕。</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10.4  暂估价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暂估价材料和工程设备的明细详见附件11：《暂估价一览表》。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10.4.1  依法必须招标的暂估价项目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对于依法必须招标的暂估价项目的确认和批准采取第</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种方式确定。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10.4.2  不属于依法必须招标的暂估价项目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对于不属于依法必须招标的暂估价项目的确认和批准采取第</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种方式确定。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第3种方式：承包人直接实施的暂估价项目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10.5 暂列金额</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合同当事人关于暂列金额使用的约定：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  价格调整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11.1  市场价格波动引起的调整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市场价格波动是否调整合同价格的约定：</w:t>
      </w:r>
      <w:r>
        <w:rPr>
          <w:rFonts w:hint="eastAsia" w:ascii="宋体" w:hAnsi="宋体" w:eastAsia="宋体" w:cs="宋体"/>
          <w:color w:val="auto"/>
          <w:sz w:val="21"/>
          <w:szCs w:val="21"/>
          <w:u w:val="single"/>
        </w:rPr>
        <w:t xml:space="preserve">约定风险范围内的不予调整；超出风险约定范围外的双方再约定并签订书面补充协议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种方式对合同价格进行调整：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关于各可调因子、定值和变值权重，以及基本价格指数及其来源的约定：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第2种方式：采用造价信息进行价格调整。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（2）关于基准价格的约定：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%时，或材料单价跌幅以已标价工程量清单或预算书中载明材料单价为基础超过</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%时，其超过部分据实调整。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%时，材料单价涨幅以已标价工程量清单或预算书中载明材料单价为基础超过</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%时，其超过部分据实调整。</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%时，其超过部分据实调整。</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第3种方式：采用政策性文件进行价格调整。</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政府投资工程因市场价格波动引起的调整按以下</w:t>
      </w:r>
      <w:r>
        <w:rPr>
          <w:rFonts w:hint="eastAsia" w:ascii="宋体" w:hAnsi="宋体" w:eastAsia="宋体" w:cs="宋体"/>
          <w:b/>
          <w:color w:val="auto"/>
          <w:sz w:val="21"/>
          <w:szCs w:val="21"/>
          <w:u w:val="single"/>
        </w:rPr>
        <w:t>第（1）种方式</w:t>
      </w:r>
      <w:r>
        <w:rPr>
          <w:rFonts w:hint="eastAsia" w:ascii="宋体" w:hAnsi="宋体" w:eastAsia="宋体" w:cs="宋体"/>
          <w:b/>
          <w:color w:val="auto"/>
          <w:sz w:val="21"/>
          <w:szCs w:val="21"/>
        </w:rPr>
        <w:t>约定执行：</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u w:val="single"/>
        </w:rPr>
        <w:t>（1）按《关于进一步加强杭州市建设工程市场要素价格动态管理的指导意见》（杭建市发〔2018〕579号）执行</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u w:val="single"/>
        </w:rPr>
        <w:t xml:space="preserve">（2）其他：相关文件若有新政策，经发包人确认后按新文件执行 </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其中：</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1、风险范围及幅度的约定：</w:t>
      </w:r>
    </w:p>
    <w:p>
      <w:pPr>
        <w:spacing w:line="400" w:lineRule="exact"/>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（1）人工费的风险幅度（5%）</w:t>
      </w:r>
    </w:p>
    <w:p>
      <w:pPr>
        <w:spacing w:line="400" w:lineRule="exact"/>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（2）材料价格的风险幅度（5%）</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2、材料价款动态调整结算方式采用以下</w:t>
      </w:r>
      <w:r>
        <w:rPr>
          <w:rFonts w:hint="eastAsia" w:ascii="宋体" w:hAnsi="宋体" w:eastAsia="宋体" w:cs="宋体"/>
          <w:b/>
          <w:color w:val="auto"/>
          <w:sz w:val="21"/>
          <w:szCs w:val="21"/>
          <w:u w:val="single"/>
        </w:rPr>
        <w:t>第（ 3 ）种方式</w:t>
      </w:r>
      <w:r>
        <w:rPr>
          <w:rFonts w:hint="eastAsia" w:ascii="宋体" w:hAnsi="宋体" w:eastAsia="宋体" w:cs="宋体"/>
          <w:b/>
          <w:color w:val="auto"/>
          <w:sz w:val="21"/>
          <w:szCs w:val="21"/>
        </w:rPr>
        <w:t>约定：</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（1）</w:t>
      </w:r>
      <w:r>
        <w:rPr>
          <w:rFonts w:hint="eastAsia" w:ascii="宋体" w:hAnsi="宋体" w:eastAsia="宋体" w:cs="宋体"/>
          <w:b/>
          <w:color w:val="auto"/>
          <w:sz w:val="21"/>
          <w:szCs w:val="21"/>
          <w:u w:val="single"/>
        </w:rPr>
        <w:t xml:space="preserve">按时间进度分段结算：         /         </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（2）</w:t>
      </w:r>
      <w:r>
        <w:rPr>
          <w:rFonts w:hint="eastAsia" w:ascii="宋体" w:hAnsi="宋体" w:eastAsia="宋体" w:cs="宋体"/>
          <w:b/>
          <w:color w:val="auto"/>
          <w:sz w:val="21"/>
          <w:szCs w:val="21"/>
          <w:u w:val="single"/>
        </w:rPr>
        <w:t xml:space="preserve">按工程形象部位(目标)分段结算：    /     </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（3）</w:t>
      </w:r>
      <w:r>
        <w:rPr>
          <w:rFonts w:hint="eastAsia" w:ascii="宋体" w:hAnsi="宋体" w:eastAsia="宋体" w:cs="宋体"/>
          <w:b/>
          <w:color w:val="auto"/>
          <w:sz w:val="21"/>
          <w:szCs w:val="21"/>
          <w:u w:val="single"/>
        </w:rPr>
        <w:t xml:space="preserve">竣工后一次性结算：                             </w:t>
      </w:r>
      <w:r>
        <w:rPr>
          <w:rFonts w:hint="eastAsia" w:ascii="宋体" w:hAnsi="宋体" w:eastAsia="宋体" w:cs="宋体"/>
          <w:b/>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  合同价格、计量与支付</w:t>
      </w:r>
    </w:p>
    <w:p>
      <w:pPr>
        <w:spacing w:line="400" w:lineRule="exact"/>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12.1 合同价格形式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12.1.1  单价合同。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综合单价包含的风险范围：</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（1）</w:t>
      </w:r>
      <w:r>
        <w:rPr>
          <w:rFonts w:hint="eastAsia" w:ascii="宋体" w:hAnsi="宋体" w:eastAsia="宋体" w:cs="宋体"/>
          <w:b/>
          <w:color w:val="auto"/>
          <w:sz w:val="21"/>
          <w:szCs w:val="21"/>
          <w:u w:val="single"/>
        </w:rPr>
        <w:t>应由承包人承担的工、料、机在投标编制期或预算书编制期与合同实施期间所发生的市场价格波动。</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（2）</w:t>
      </w:r>
      <w:r>
        <w:rPr>
          <w:rFonts w:hint="eastAsia" w:ascii="宋体" w:hAnsi="宋体" w:eastAsia="宋体" w:cs="宋体"/>
          <w:b/>
          <w:color w:val="auto"/>
          <w:sz w:val="21"/>
          <w:szCs w:val="21"/>
          <w:u w:val="single"/>
        </w:rPr>
        <w:t xml:space="preserve">其他：a、现行预算定额或工程量计算规则未描述到，但又是完成分项工程必须有的工作内容，均应包括在报价内。b、材料价格的正常波动。c、连续48小时以内停水、停电不能施工造成的费用增加和工期延误d、.施工组织措施费用、技术措施费用及招标文件和清单明示包干费用，不作调整  </w:t>
      </w:r>
      <w:r>
        <w:rPr>
          <w:rFonts w:hint="eastAsia" w:ascii="宋体" w:hAnsi="宋体" w:eastAsia="宋体" w:cs="宋体"/>
          <w:b/>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以上风险费用已在投标报价时考虑，不再另行计取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（1）</w:t>
      </w:r>
      <w:r>
        <w:rPr>
          <w:rFonts w:hint="eastAsia" w:ascii="宋体" w:hAnsi="宋体" w:eastAsia="宋体" w:cs="宋体"/>
          <w:b/>
          <w:color w:val="auto"/>
          <w:sz w:val="21"/>
          <w:szCs w:val="21"/>
          <w:u w:val="single"/>
        </w:rPr>
        <w:t xml:space="preserve">市场价格波动引起的调整按本合同11.1第3种方式的约定计算       </w:t>
      </w:r>
      <w:r>
        <w:rPr>
          <w:rFonts w:hint="eastAsia" w:ascii="宋体" w:hAnsi="宋体" w:eastAsia="宋体" w:cs="宋体"/>
          <w:b/>
          <w:color w:val="auto"/>
          <w:sz w:val="21"/>
          <w:szCs w:val="21"/>
        </w:rPr>
        <w:t>。</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（2）</w:t>
      </w:r>
      <w:r>
        <w:rPr>
          <w:rFonts w:hint="eastAsia" w:ascii="宋体" w:hAnsi="宋体" w:eastAsia="宋体" w:cs="宋体"/>
          <w:b/>
          <w:color w:val="auto"/>
          <w:sz w:val="21"/>
          <w:szCs w:val="21"/>
          <w:u w:val="single"/>
        </w:rPr>
        <w:t>其他：a、工程量根据施工图及联系单，按照《建设工程工程量清单计价规范》（GB50500-2013）计算，结算工程量须首先报监理及建设单位初审。联系单管理按《西湖区政府投资项目工程变更管理办法》（西政办【2016】99号）执行，未履行规定程序的联系单，不得纳入结算。</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b、施工过程如有变更项目合同中已有适用工程项目单价的，按合同中已有的单价确定。</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c、施工过程如有变更项目是合同中有类似项目单价的，可以参照合同中类似项目的单价确定。清单项目中项目特征或工程内容发生部分变更的，应以原综合单价为基础，仅就变更部分相应定额子目调整综合单价。材料变化的仅调整材料的信息价差价，并计增减材料差价的规费和税金。</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d、合同中没有适用工程项目单价的：无投标综合单价，由承包人按浙江省建设工程“计价规则”（201</w:t>
      </w:r>
      <w:r>
        <w:rPr>
          <w:rFonts w:hint="eastAsia" w:ascii="宋体" w:hAnsi="宋体" w:eastAsia="宋体" w:cs="宋体"/>
          <w:b/>
          <w:color w:val="auto"/>
          <w:sz w:val="21"/>
          <w:szCs w:val="21"/>
          <w:u w:val="single"/>
          <w:lang w:val="en-US" w:eastAsia="zh-CN"/>
        </w:rPr>
        <w:t>8</w:t>
      </w:r>
      <w:r>
        <w:rPr>
          <w:rFonts w:hint="eastAsia" w:ascii="宋体" w:hAnsi="宋体" w:eastAsia="宋体" w:cs="宋体"/>
          <w:b/>
          <w:color w:val="auto"/>
          <w:sz w:val="21"/>
          <w:szCs w:val="21"/>
          <w:u w:val="single"/>
        </w:rPr>
        <w:t>版）及《浙江省建筑工程预算工程定额》（201</w:t>
      </w:r>
      <w:r>
        <w:rPr>
          <w:rFonts w:hint="eastAsia" w:ascii="宋体" w:hAnsi="宋体" w:eastAsia="宋体" w:cs="宋体"/>
          <w:b/>
          <w:color w:val="auto"/>
          <w:sz w:val="21"/>
          <w:szCs w:val="21"/>
          <w:u w:val="single"/>
          <w:lang w:val="en-US" w:eastAsia="zh-CN"/>
        </w:rPr>
        <w:t>8</w:t>
      </w:r>
      <w:r>
        <w:rPr>
          <w:rFonts w:hint="eastAsia" w:ascii="宋体" w:hAnsi="宋体" w:eastAsia="宋体" w:cs="宋体"/>
          <w:b/>
          <w:color w:val="auto"/>
          <w:sz w:val="21"/>
          <w:szCs w:val="21"/>
          <w:u w:val="single"/>
        </w:rPr>
        <w:t>版）直接费，另取规费、税金进入结算，相关的材料价格、取费及优惠额度按投标同口径进入直接费，材料价格有投标价的执行投标价，无投标价的执行合同工期前80%的信息价平均值，当地信息价正刊没有公布的材料，发包人参照市场价、降幅系数、投标报价水平等因素确定；当零星工程发生签证台班数量，机械单价有投标价的执行投标价，无投标价的执行预算定额单价；按照上述方法计算后乘以优惠率得出结算价格，优惠率=</w:t>
      </w:r>
      <w:r>
        <w:rPr>
          <w:rFonts w:hint="eastAsia" w:ascii="宋体" w:hAnsi="宋体" w:eastAsia="宋体" w:cs="宋体"/>
          <w:b w:val="0"/>
          <w:bCs w:val="0"/>
          <w:color w:val="auto"/>
          <w:sz w:val="21"/>
          <w:szCs w:val="21"/>
          <w:u w:val="none"/>
        </w:rPr>
        <w:t>投标价中建筑安装工程费（扣除暂列金额和暂估价总额）/最高投标限价中建筑安装工程费（扣除暂列金额和暂估价总额）</w:t>
      </w:r>
      <w:r>
        <w:rPr>
          <w:rFonts w:hint="eastAsia" w:ascii="宋体" w:hAnsi="宋体" w:eastAsia="宋体" w:cs="宋体"/>
          <w:b/>
          <w:color w:val="auto"/>
          <w:sz w:val="21"/>
          <w:szCs w:val="21"/>
          <w:u w:val="single"/>
        </w:rPr>
        <w:t xml:space="preserve">。没有定额可以套的按市场询价须经监理方、发包方及审计单位确认后进入结算。 </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e、施工组织措施费、施工技术措施费在招标范围未发生变化情况下，按投标报价包干。</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f、工程量清单项目特征描述的分项工程内容均应计入综合单价报价，若投标人提供的分部分项工程量综合单价计算表及综合单价工料机分析表没有详尽分析的，招标人将对实际未实施的分项工程予以扣除，扣除部分的价格参考按第d条，结合投标报价水平确定。</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g、在施工期间异常波动，调整条件及方式参照《关于进一步加强杭州市建设工程市场要素价格动态管理的指导意见》执行。本工程约定：人工价格风险幅度为5%，单种规格材料价格风险幅度为5 %。材料价格动态调整方式采用“竣工后一次性结算”方式。</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h、施工中如承包人遇材料因实际情况须要变更，不得降低品质，并且须经发包方、监理方、使用人书面同意，材料变更应在招标文件选定的品牌、规格范围内，单价不应突破原材料投标报价。</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i、现有管线、邻近建筑物、构筑物（含文物保护建筑）、古树名木等的保护费计算。招标时已明确的，其保护费用投标人应根据招标人提供的交底资料，结合现场探勘，充分考虑施工难度，计入报价，包干使用。实施过程中新发现的，其保护费用按实计算，计算口径按第d条执行。</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j、本工程结算造价以审计部门审核为准。</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k、若同一标段中出现清单项目相同而投标报价或取费等不一致者，按最低者执行。注：信息价是指《杭州造价信息》正刊中的价格，如果《杭州造价信息》上没有价格的则按照《浙江造价信息》正刊执行。《杭州造价信息》正刊与《浙江造价信息》正刊都没有信息价的双方协商确定或发包方签证确定。</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l、凡合价金额占合同总价2%及以上的分部分项清单项目，其工程量增加或减少超过本项目工程数量15%及以上时，或者合价金额占合同总价不到2%的分部分项清单项目，但其工程量增加或减少超过本项目工程数量25%以上时，其增加部分工程量或减少后剩余部分工程量相应的综合单价由承包人参照投标时的报价分析表对原单价重新组价，或参考投标时所采用的的计价依据提出适当的单价，经发包人审定后，作为结算的依据。</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u w:val="single"/>
        </w:rPr>
        <w:t>m、对于法律、法规、规章或有关政策出台导致工程税金、规费、人工发生变化，并由市级行业建设行政主管部门或其授权的工程造价管理机构根据上述变化发布的政策性调整，按照调整规定执行</w:t>
      </w:r>
      <w:r>
        <w:rPr>
          <w:rFonts w:hint="eastAsia" w:ascii="宋体" w:hAnsi="宋体" w:eastAsia="宋体" w:cs="宋体"/>
          <w:b/>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12.1.2  总价合同。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b/>
          <w:color w:val="auto"/>
          <w:sz w:val="21"/>
          <w:szCs w:val="21"/>
          <w:u w:val="single"/>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12.1.3  其他价格方式：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12.2  预付款</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12.2.1  预付款的支付</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u w:val="single"/>
        </w:rPr>
        <w:t>合同价（剔除单独支付的安全文明施工费、暂定的专业工程造价</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暂列金额</w:t>
      </w:r>
      <w:r>
        <w:rPr>
          <w:rFonts w:hint="eastAsia" w:ascii="宋体" w:hAnsi="宋体" w:eastAsia="宋体" w:cs="宋体"/>
          <w:color w:val="auto"/>
          <w:sz w:val="21"/>
          <w:szCs w:val="21"/>
          <w:u w:val="single"/>
        </w:rPr>
        <w:t>）的10%</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工资预付款支付比例或金额：</w:t>
      </w:r>
      <w:r>
        <w:rPr>
          <w:rFonts w:hint="eastAsia" w:ascii="宋体" w:hAnsi="宋体" w:eastAsia="宋体" w:cs="宋体"/>
          <w:color w:val="auto"/>
          <w:sz w:val="21"/>
          <w:szCs w:val="21"/>
          <w:u w:val="single"/>
        </w:rPr>
        <w:t>合同价的1%</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预付款支付期限：合同签定并</w:t>
      </w:r>
      <w:r>
        <w:rPr>
          <w:rFonts w:hint="eastAsia" w:ascii="宋体" w:hAnsi="宋体" w:eastAsia="宋体" w:cs="宋体"/>
          <w:color w:val="auto"/>
          <w:sz w:val="21"/>
          <w:szCs w:val="21"/>
          <w:u w:val="single"/>
        </w:rPr>
        <w:t xml:space="preserve">收到承包人的履约保证金后7天内支付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u w:val="single"/>
        </w:rPr>
        <w:t>付款扣回方式明确：</w:t>
      </w:r>
      <w:r>
        <w:rPr>
          <w:rFonts w:hint="eastAsia" w:ascii="宋体" w:hAnsi="宋体" w:eastAsia="宋体" w:cs="宋体"/>
          <w:color w:val="auto"/>
          <w:sz w:val="21"/>
          <w:szCs w:val="21"/>
          <w:u w:val="single"/>
          <w:lang w:val="en-US" w:eastAsia="zh-CN"/>
        </w:rPr>
        <w:t>支付至合同价30%</w:t>
      </w:r>
      <w:r>
        <w:rPr>
          <w:rFonts w:hint="eastAsia" w:ascii="宋体" w:hAnsi="宋体" w:eastAsia="宋体" w:cs="宋体"/>
          <w:color w:val="auto"/>
          <w:sz w:val="21"/>
          <w:szCs w:val="21"/>
          <w:u w:val="single"/>
        </w:rPr>
        <w:t>时全部扣回</w:t>
      </w:r>
      <w:r>
        <w:rPr>
          <w:rFonts w:hint="eastAsia" w:ascii="宋体" w:hAnsi="宋体" w:eastAsia="宋体" w:cs="宋体"/>
          <w:color w:val="auto"/>
          <w:sz w:val="21"/>
          <w:szCs w:val="21"/>
          <w:u w:val="single"/>
          <w:lang w:eastAsia="zh-CN"/>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  计量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12.3.1  计量原则</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工程量计算规则：</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（1）</w:t>
      </w:r>
      <w:r>
        <w:rPr>
          <w:rFonts w:hint="eastAsia" w:ascii="宋体" w:hAnsi="宋体" w:eastAsia="宋体" w:cs="宋体"/>
          <w:b/>
          <w:color w:val="auto"/>
          <w:sz w:val="21"/>
          <w:szCs w:val="21"/>
          <w:u w:val="single"/>
        </w:rPr>
        <w:t>实行工程量清单计价的工程项目，其工程量的计算规则应按国家标准工程量计算规范及省级行业主管部门颁布的补充规定执行。</w:t>
      </w:r>
    </w:p>
    <w:p>
      <w:pPr>
        <w:spacing w:line="400" w:lineRule="exact"/>
        <w:ind w:firstLine="422" w:firstLineChars="200"/>
        <w:rPr>
          <w:rFonts w:hint="eastAsia" w:ascii="宋体" w:hAnsi="宋体" w:eastAsia="宋体" w:cs="宋体"/>
          <w:b/>
          <w:color w:val="auto"/>
          <w:sz w:val="21"/>
          <w:szCs w:val="21"/>
          <w:u w:val="single"/>
        </w:rPr>
      </w:pPr>
      <w:r>
        <w:rPr>
          <w:rFonts w:hint="eastAsia" w:ascii="宋体" w:hAnsi="宋体" w:eastAsia="宋体" w:cs="宋体"/>
          <w:b/>
          <w:color w:val="auto"/>
          <w:sz w:val="21"/>
          <w:szCs w:val="21"/>
        </w:rPr>
        <w:t>（2）</w:t>
      </w:r>
      <w:r>
        <w:rPr>
          <w:rFonts w:hint="eastAsia" w:ascii="宋体" w:hAnsi="宋体" w:eastAsia="宋体" w:cs="宋体"/>
          <w:b/>
          <w:color w:val="auto"/>
          <w:sz w:val="21"/>
          <w:szCs w:val="21"/>
          <w:u w:val="single"/>
        </w:rPr>
        <w:t>不实行工程量清单计价的工程项目，工程量的计算规则应按省、市行业主管部门颁布的各专业工程定额的工程量计算规则执行。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12.3.2  计量周期</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12.3.3  单价合同的计量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工资性工程款比例约定：</w:t>
      </w:r>
      <w:r>
        <w:rPr>
          <w:rFonts w:hint="eastAsia" w:ascii="宋体" w:hAnsi="宋体" w:eastAsia="宋体" w:cs="宋体"/>
          <w:color w:val="auto"/>
          <w:sz w:val="21"/>
          <w:szCs w:val="21"/>
          <w:u w:val="single"/>
        </w:rPr>
        <w:t>在开工当月按合同价1%向承包人开设的农民工工资（劳务费）专用账户预付工资性工程款；在开工后次月起每月单独按时拨付工资性工程款到承包人开设的农民工工资（劳务费）专用账户。具体比例按浙建【2020】7号文的</w:t>
      </w:r>
      <w:r>
        <w:rPr>
          <w:rFonts w:hint="eastAsia" w:ascii="宋体" w:hAnsi="宋体" w:eastAsia="宋体" w:cs="宋体"/>
          <w:color w:val="auto"/>
          <w:sz w:val="21"/>
          <w:szCs w:val="21"/>
          <w:u w:val="single"/>
          <w:lang w:val="en-US" w:eastAsia="zh-CN"/>
        </w:rPr>
        <w:t>20</w:t>
      </w:r>
      <w:r>
        <w:rPr>
          <w:rFonts w:hint="eastAsia" w:ascii="宋体" w:hAnsi="宋体" w:eastAsia="宋体" w:cs="宋体"/>
          <w:color w:val="auto"/>
          <w:sz w:val="21"/>
          <w:szCs w:val="21"/>
          <w:u w:val="single"/>
        </w:rPr>
        <w:t>%执行</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12.3.4  总价合同的计量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工资性工程款比例约定：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12.3.5  总价合同采用支付分解表计量支付的，是否适用第12.3.4 项〔总价合同的计量〕约定进行计量：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12.3.6  其他价格形式合同的计量</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  工程进度款支付</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12.4.1  付款周期</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关于付款周期的约定：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合同签订后7个工作日内支付合同价的10%工程预付款，完成合同内工程量的50%，支付至合同价的30%（含预付款）。完成合同内工程量的70%，支付至合同价的50%。工程完成并通过竣工验收，支付至合同价的85%。同时返还合同履约保证金，审</w:t>
      </w:r>
      <w:bookmarkStart w:id="549" w:name="_GoBack"/>
      <w:bookmarkEnd w:id="549"/>
      <w:r>
        <w:rPr>
          <w:rFonts w:hint="eastAsia" w:ascii="宋体" w:hAnsi="宋体" w:eastAsia="宋体" w:cs="宋体"/>
          <w:color w:val="auto"/>
          <w:sz w:val="21"/>
          <w:szCs w:val="21"/>
          <w:u w:val="single"/>
        </w:rPr>
        <w:t>计结算完成后，施工单位向发包人缴纳审计价的1.5%质量保证金后，支付至审计结算价的100</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。（质量保证金缴入学校结余户内），等缺陷责任期满后如无质量问题由学校无息返还(质保期按政府相关规定执行一般为2年)。工程款、竣工款支付须由监理方签字盖章，发包方审核确认后支付。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工程的最终结算价格以审计价为准。付款前，承包人应提供符合要求的等额发票，否则发包人的付款期限相应顺延。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12.4.2  进度付款申请单的编制</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关于进度付款申请单编制的约定：</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12.4.3 进度付款申请单的提交</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12.4.4  进度款审核和支付</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 xml:space="preserve">收到承包人资料齐全后7天内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12.4.5  支付分解表的编制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2、单价合同的总价项目支付分解表的编制与审批：</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  验收和工程试车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  分部分项工程验收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13.1.2  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pPr>
        <w:spacing w:line="400" w:lineRule="exact"/>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48  </w:t>
      </w:r>
      <w:r>
        <w:rPr>
          <w:rFonts w:hint="eastAsia" w:ascii="宋体" w:hAnsi="宋体" w:eastAsia="宋体" w:cs="宋体"/>
          <w:color w:val="auto"/>
          <w:sz w:val="21"/>
          <w:szCs w:val="21"/>
        </w:rPr>
        <w:t>小时。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  竣工验收</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13.2.2  竣工验收程序</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关于竣工验收程序的约定：</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13.2.3  移交、接收全部与部分工程</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承包人向发包人移交工程的期限：</w:t>
      </w:r>
      <w:r>
        <w:rPr>
          <w:rFonts w:hint="eastAsia" w:ascii="宋体" w:hAnsi="宋体" w:eastAsia="宋体" w:cs="宋体"/>
          <w:color w:val="auto"/>
          <w:sz w:val="21"/>
          <w:szCs w:val="21"/>
          <w:u w:val="single"/>
        </w:rPr>
        <w:t>竣工验收完成后1天内</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每逾期一日，按合同总价的万分之五向发包人支付违约金，迟</w:t>
      </w:r>
      <w:r>
        <w:rPr>
          <w:rFonts w:hint="eastAsia" w:ascii="宋体" w:hAnsi="宋体" w:eastAsia="宋体" w:cs="宋体"/>
          <w:color w:val="auto"/>
          <w:sz w:val="21"/>
          <w:szCs w:val="21"/>
          <w:highlight w:val="none"/>
          <w:u w:val="single"/>
        </w:rPr>
        <w:t>延交付超过</w:t>
      </w:r>
      <w:r>
        <w:rPr>
          <w:rFonts w:hint="eastAsia" w:ascii="宋体" w:hAnsi="宋体"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rPr>
        <w:t>天或有其</w:t>
      </w:r>
      <w:r>
        <w:rPr>
          <w:rFonts w:hint="eastAsia" w:ascii="宋体" w:hAnsi="宋体" w:eastAsia="宋体" w:cs="宋体"/>
          <w:color w:val="auto"/>
          <w:sz w:val="21"/>
          <w:szCs w:val="21"/>
          <w:u w:val="single"/>
        </w:rPr>
        <w:t xml:space="preserve">他违约情况严重的，发包人有权单方解除本合同并要求承包人赔偿损失。同时，承包人移交所有工程之前，发包人有权拒绝支付任何工程款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13.3  工程试车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13.3.1  试车程序</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工程试车内容：</w:t>
      </w:r>
      <w:r>
        <w:rPr>
          <w:rFonts w:hint="eastAsia" w:ascii="宋体" w:hAnsi="宋体" w:eastAsia="宋体" w:cs="宋体"/>
          <w:color w:val="auto"/>
          <w:sz w:val="21"/>
          <w:szCs w:val="21"/>
          <w:u w:val="single"/>
        </w:rPr>
        <w:t xml:space="preserve"> 所有试车费用承包人已在投标报价中包干，内容按政府有关规定和监理工程师要求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（1）单机无负荷试车费用由</w:t>
      </w:r>
      <w:r>
        <w:rPr>
          <w:rFonts w:hint="eastAsia" w:ascii="宋体" w:hAnsi="宋体" w:eastAsia="宋体" w:cs="宋体"/>
          <w:color w:val="auto"/>
          <w:sz w:val="21"/>
          <w:szCs w:val="21"/>
          <w:u w:val="single"/>
        </w:rPr>
        <w:t xml:space="preserve">  承包人     </w:t>
      </w:r>
      <w:r>
        <w:rPr>
          <w:rFonts w:hint="eastAsia" w:ascii="宋体" w:hAnsi="宋体" w:eastAsia="宋体" w:cs="宋体"/>
          <w:color w:val="auto"/>
          <w:sz w:val="21"/>
          <w:szCs w:val="21"/>
        </w:rPr>
        <w:t>承担；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（2）无负荷联动试车费用由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承担。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13.3.2  投料试车</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关于投料试车相关事项的约定：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13.4  竣工退场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13.4.1  竣工退场</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承包人完成竣工退场的期限：</w:t>
      </w:r>
      <w:r>
        <w:rPr>
          <w:rFonts w:hint="eastAsia" w:ascii="宋体" w:hAnsi="宋体" w:eastAsia="宋体" w:cs="宋体"/>
          <w:color w:val="auto"/>
          <w:sz w:val="21"/>
          <w:szCs w:val="21"/>
          <w:u w:val="single"/>
        </w:rPr>
        <w:t>按《杭州市建筑工程施工场地文明管理规定》等省市有关规定实施标化管理和现场公共部位的清洁绿化工作并承担费用。工程完工交付5天内现场应清除所有不再需要的临时工程、承包人的设备和多余材料、全部建筑和生活垃圾，达到招标方工程师满意的使用状态。如承包人不履行，发包人可自行清除，发生的费用由承包人承担</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  竣工结算</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14.1  竣工结算申请</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承包人提交竣工结算申请单的期限：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竣工结算申请单应包括的内容：</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14.2  竣工结算审核</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发包人审批竣工付款申请单的期限：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14.3发包人完成竣工付款的期限：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关于竣工付款证书异议部分复核的方式和程序：</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14.4  最终结清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14.4.1  最终结清申请单</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承包人提交最终结清申请单的份数：</w:t>
      </w:r>
      <w:r>
        <w:rPr>
          <w:rFonts w:hint="eastAsia" w:ascii="宋体" w:hAnsi="宋体" w:eastAsia="宋体" w:cs="宋体"/>
          <w:color w:val="auto"/>
          <w:sz w:val="21"/>
          <w:szCs w:val="21"/>
          <w:u w:val="single"/>
        </w:rPr>
        <w:t xml:space="preserve">   4份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承包人提交最终结算申请单的期限：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14.4.2  最终结清证书和支付</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 xml:space="preserve">按通用条款相关约定执行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  缺陷责任期与保修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15.2  缺陷责任期</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 xml:space="preserve">24个月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15.3 质量保证金</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是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在工程项目竣工前，承包人按专用合同条款第3.7条提供履约担保的，发包人不得同时预留工程质量保证金。</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15.3.1 承包人提供质量保证金的方式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4   </w:t>
      </w:r>
      <w:r>
        <w:rPr>
          <w:rFonts w:hint="eastAsia" w:ascii="宋体" w:hAnsi="宋体" w:eastAsia="宋体" w:cs="宋体"/>
          <w:color w:val="auto"/>
          <w:sz w:val="21"/>
          <w:szCs w:val="21"/>
        </w:rPr>
        <w:t>种方式：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质量保证金保函，保证金额为：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（2）保证保险，保证金额为：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.5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%的工程款；</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（4）其他方式:</w:t>
      </w:r>
      <w:r>
        <w:rPr>
          <w:rFonts w:hint="eastAsia" w:ascii="宋体" w:hAnsi="宋体" w:eastAsia="宋体" w:cs="宋体"/>
          <w:color w:val="auto"/>
          <w:sz w:val="21"/>
          <w:szCs w:val="21"/>
          <w:u w:val="single"/>
        </w:rPr>
        <w:t xml:space="preserve"> 审计结算完成后结算价的</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.5%</w:t>
      </w:r>
      <w:r>
        <w:rPr>
          <w:rFonts w:hint="eastAsia" w:ascii="宋体" w:hAnsi="宋体" w:eastAsia="宋体" w:cs="宋体"/>
          <w:color w:val="auto"/>
          <w:sz w:val="21"/>
          <w:szCs w:val="21"/>
          <w:u w:val="single"/>
        </w:rPr>
        <w:t xml:space="preserve">作为质量保证金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15.3.2  质量保证金的扣留 </w:t>
      </w:r>
    </w:p>
    <w:p>
      <w:pPr>
        <w:spacing w:line="400" w:lineRule="exact"/>
        <w:ind w:firstLine="420" w:firstLineChars="200"/>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（2）</w:t>
      </w:r>
      <w:r>
        <w:rPr>
          <w:rFonts w:hint="eastAsia" w:ascii="宋体" w:hAnsi="宋体" w:eastAsia="宋体" w:cs="宋体"/>
          <w:color w:val="auto"/>
          <w:sz w:val="21"/>
          <w:szCs w:val="21"/>
        </w:rPr>
        <w:t>种方式：</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（1）在支付工程进度款时逐次扣留，在此情形下，质量保证金的计算基数不包括预付款的支付、扣回以及价格调整的金额；</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（2）工程竣工结算时一次性扣留质量保证金；</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（3）其他扣留方式: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sz w:val="21"/>
          <w:szCs w:val="21"/>
          <w:u w:val="single"/>
        </w:rPr>
        <w:t>审计结算完成后支付至结算价的9</w:t>
      </w:r>
      <w:r>
        <w:rPr>
          <w:rFonts w:hint="eastAsia" w:ascii="宋体" w:hAnsi="宋体" w:eastAsia="宋体" w:cs="宋体"/>
          <w:color w:val="auto"/>
          <w:sz w:val="21"/>
          <w:szCs w:val="21"/>
          <w:u w:val="single"/>
          <w:lang w:val="en-US" w:eastAsia="zh-CN"/>
        </w:rPr>
        <w:t>8</w:t>
      </w:r>
      <w:r>
        <w:rPr>
          <w:rFonts w:hint="eastAsia" w:ascii="宋体" w:hAnsi="宋体" w:eastAsia="宋体" w:cs="宋体"/>
          <w:color w:val="auto"/>
          <w:sz w:val="21"/>
          <w:szCs w:val="21"/>
          <w:u w:val="single"/>
        </w:rPr>
        <w:t>.5%，余下</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 xml:space="preserve">.5%作为质量保证金。缺陷责任期满后如无质量问题无息返还（若有发包人委托他人修理的维修费用发生，则在扣除后不计息返还余额）；承包人仍应按《工程质量保修书》约定的工程各部位保修年限承担保修义务。在工程项目竣工前，已经缴纳履约保证金的，建设单位不得同时预留工程质量保证金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  保修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15.4.1  保修责任</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工程保修期为：</w:t>
      </w:r>
      <w:r>
        <w:rPr>
          <w:rFonts w:hint="eastAsia" w:ascii="宋体" w:hAnsi="宋体" w:eastAsia="宋体" w:cs="宋体"/>
          <w:color w:val="auto"/>
          <w:sz w:val="21"/>
          <w:szCs w:val="21"/>
          <w:u w:val="single"/>
        </w:rPr>
        <w:t xml:space="preserve">按《工程质量保修书》执行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15.4.2  修复通知</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承包人收到保修通知并到达工程现场的合理时间：</w:t>
      </w:r>
      <w:r>
        <w:rPr>
          <w:rFonts w:hint="eastAsia" w:ascii="宋体" w:hAnsi="宋体" w:eastAsia="宋体" w:cs="宋体"/>
          <w:color w:val="auto"/>
          <w:sz w:val="21"/>
          <w:szCs w:val="21"/>
          <w:u w:val="single"/>
        </w:rPr>
        <w:t xml:space="preserve">2小时内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  违约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  发包人违约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16.1.1  发包人违约的情形</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发包人违约的其他情形：</w:t>
      </w:r>
      <w:r>
        <w:rPr>
          <w:rFonts w:hint="eastAsia" w:ascii="宋体" w:hAnsi="宋体" w:eastAsia="宋体" w:cs="宋体"/>
          <w:color w:val="auto"/>
          <w:sz w:val="21"/>
          <w:szCs w:val="21"/>
          <w:u w:val="single"/>
        </w:rPr>
        <w:t xml:space="preserve">按通用条款执行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16.1.2  发包人违约的责任</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发包人违约责任的承担方式和计算方法：</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（2）因发包人原因未能按合同约定支付合同价款的违约责任：</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（5）因发包人违反合同约定造成暂停施工的违约责任：</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（6）发包人无正当理由没有在约定期限内发出复工指示，导致承包人无法复工的违约责任：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（7）其他：</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u w:val="single"/>
        </w:rPr>
        <w:t>另行协商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16.1.3  因发包人违约解除合同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承包人按16.1.1项〔发包人违约的情形〕约定暂停施工满</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天后发包人仍不纠正其违约行为并致使合同目的不能实现的，承包人有权解除合同。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16.2  承包人违约</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16.2.1  承包人违约的情形</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承包人违约的其他情形：</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16.2.2  承包人违约的责任</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承包人违约责任的承担方式和计算方法：</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①、承包人违反合同约定进行转包或违法分包的，其发生的费用由承包人承担。发包人将向有关行政主管部门通报有关情况，由行政主管部门进行处罚。此外，发包人有权解除本合同，承包人应向发包人支付合同价20%的违约金，违约金不足以弥补发包人损失的，承包人应予以补足。</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②、承包人违反合同约定采购和使用不合格的材料和工程设备的，由承包人根据监理人、发包人及设计要求重新采购合格的材料和工程设备，由此引起的损失由承包人承担。工期等均不予顺延。</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③、承包人必须严格按照施工图及工程施工验收规范等精心组织施工，严格把好每道工序的质量关，确保工程竣工验收达到合格等级。经验收，如有不合格工程，承包人应无条件返工、整改、采取相应的补救、修复措施，直至工程竣工验收合格，如无法修复或严重降低工程整体质量，则发包人有权扣除其全额质量履约保证金，并处以工程结算总造价的5%的违约金。且发包人保留采取其他制约措施的权力。因此而工程逾期的，还应承担逾期竣工的违约责任。</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u w:val="single"/>
        </w:rPr>
        <w:t>④、承包人违反通用合同条款中第8.9款</w:t>
      </w:r>
      <w:r>
        <w:rPr>
          <w:rFonts w:hint="eastAsia" w:ascii="宋体" w:hAnsi="宋体" w:eastAsia="宋体" w:cs="宋体"/>
          <w:color w:val="auto"/>
          <w:sz w:val="21"/>
          <w:szCs w:val="21"/>
          <w:highlight w:val="none"/>
          <w:u w:val="single"/>
        </w:rPr>
        <w:t>[材料与设备专用要求]的约定，未经批准，私自将已按照合同约定进入施工现场的材料或设备撤离施工现场的：造成工程损失的由承包人承担，造成工期延误的按⑤执行。材料与设备不符合合同约定的，承包人除无条件更换符合要求的产品外，需向发包人支付</w:t>
      </w:r>
      <w:r>
        <w:rPr>
          <w:rFonts w:hint="eastAsia" w:ascii="宋体" w:hAnsi="宋体" w:cs="宋体"/>
          <w:color w:val="auto"/>
          <w:sz w:val="21"/>
          <w:szCs w:val="21"/>
          <w:highlight w:val="none"/>
          <w:u w:val="single"/>
          <w:lang w:val="en-US" w:eastAsia="zh-CN"/>
        </w:rPr>
        <w:t>1000</w:t>
      </w:r>
      <w:r>
        <w:rPr>
          <w:rFonts w:hint="eastAsia" w:ascii="宋体" w:hAnsi="宋体" w:eastAsia="宋体" w:cs="宋体"/>
          <w:color w:val="auto"/>
          <w:sz w:val="21"/>
          <w:szCs w:val="21"/>
          <w:highlight w:val="none"/>
          <w:u w:val="single"/>
        </w:rPr>
        <w:t xml:space="preserve">元/次的违约金且承担由此发生的费用，因此延误工期的按⑤执行；一旦发现承包人使用假冒产品或存在以次充好的现象，发包人有权解除合同，并处以合同总价 </w:t>
      </w:r>
      <w:r>
        <w:rPr>
          <w:rFonts w:hint="eastAsia" w:ascii="宋体" w:hAnsi="宋体" w:cs="宋体"/>
          <w:color w:val="auto"/>
          <w:sz w:val="21"/>
          <w:szCs w:val="21"/>
          <w:highlight w:val="none"/>
          <w:u w:val="single"/>
          <w:lang w:val="en-US" w:eastAsia="zh-CN"/>
        </w:rPr>
        <w:t>0.5%</w:t>
      </w:r>
      <w:r>
        <w:rPr>
          <w:rFonts w:hint="eastAsia" w:ascii="宋体" w:hAnsi="宋体" w:eastAsia="宋体" w:cs="宋体"/>
          <w:color w:val="auto"/>
          <w:sz w:val="21"/>
          <w:szCs w:val="21"/>
          <w:highlight w:val="none"/>
          <w:u w:val="single"/>
        </w:rPr>
        <w:t>的违约金。</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highlight w:val="none"/>
          <w:u w:val="single"/>
        </w:rPr>
        <w:t>⑤、除扣除全部工期履约保证金外，工期每拖延一天处以违约金为2000元/天,误期赔偿费限额为合同价的3%。如因承包人自身原因造成工期严重滞后，又无明显改进措施的，发包人有权单方解除合同并要求承包人无条件退场，并承担由此产生的一切损失</w:t>
      </w:r>
      <w:r>
        <w:rPr>
          <w:rFonts w:hint="eastAsia" w:ascii="宋体" w:hAnsi="宋体" w:eastAsia="宋体" w:cs="宋体"/>
          <w:color w:val="auto"/>
          <w:sz w:val="21"/>
          <w:szCs w:val="21"/>
          <w:u w:val="single"/>
        </w:rPr>
        <w:t>，同时，按相关法律、法规和规章制度进行处理，费用经审价机构审核后从承包人合同价款中扣除。发包人将向有关行政主管部门通报有关情况，由行政主管部门依法进行处罚。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⑥、承包人在缺陷责任期及保修期内，未能在合理期限对工程缺陷进行修复或修复完毕，或拒绝发包人要求进行修复的：发包人有权将该工程指定其他单位施工，其发生费用由承包人承担。发包人将向有关行政管理部门通报有关情况，由行政管理部门进行处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⑦、承包人明确表示或者以其行为表明不履行合同主要义务的：按相关法律、法规和规章制度进行处理，其发生费用由承包人承担。发包人将向有关行政主管部门通报有关情况，由行政主管部门进行处罚。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⑧、承包人在完工后三个月内完成竣工验收，未能完成的每逾期一天扣罚2000元；工程竣工验收完成后三个月内上报工程结算，未能上报的每逾期一天扣罚1000元（在结算款中扣除，发包人原因导致结算上报延缓的除外）。</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⑨、不定期进行安全文明施工检查，施工单位应及时整改，被一次警告后不作处罚，限期整改，被二次警告后扣除相应比例的文明施工费，另若由于施工不文明、不安全而被新闻单位曝光或交通或市政公用管理部门检查后通报，每次扣除承包人承诺的履约保证金壹万元整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⑩其他：</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u w:val="single"/>
        </w:rPr>
        <w:t>A、承包人未按3.1（10）条规</w:t>
      </w:r>
      <w:r>
        <w:rPr>
          <w:rFonts w:hint="eastAsia" w:ascii="宋体" w:hAnsi="宋体" w:eastAsia="宋体" w:cs="宋体"/>
          <w:color w:val="auto"/>
          <w:sz w:val="21"/>
          <w:szCs w:val="21"/>
          <w:highlight w:val="none"/>
          <w:u w:val="single"/>
        </w:rPr>
        <w:t>定分包渣土运输业务的，承包人应支付</w:t>
      </w:r>
      <w:r>
        <w:rPr>
          <w:rFonts w:hint="eastAsia" w:ascii="宋体" w:hAnsi="宋体" w:cs="宋体"/>
          <w:color w:val="auto"/>
          <w:sz w:val="21"/>
          <w:szCs w:val="21"/>
          <w:highlight w:val="none"/>
          <w:u w:val="single"/>
          <w:lang w:val="en-US" w:eastAsia="zh-CN"/>
        </w:rPr>
        <w:t>10000</w:t>
      </w:r>
      <w:r>
        <w:rPr>
          <w:rFonts w:hint="eastAsia" w:ascii="宋体" w:hAnsi="宋体" w:eastAsia="宋体" w:cs="宋体"/>
          <w:color w:val="auto"/>
          <w:sz w:val="21"/>
          <w:szCs w:val="21"/>
          <w:highlight w:val="none"/>
          <w:u w:val="single"/>
        </w:rPr>
        <w:t>元违约金；</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B、承包人未按照3.1（10）条规定加强建筑垃圾处置分包合同履约监管，出现分包单位使用不符合规定的车辆进出施工现场运输建筑垃圾或将建筑垃圾运输至非指定消纳场所等现象的，承包人应支付 </w:t>
      </w:r>
      <w:r>
        <w:rPr>
          <w:rFonts w:hint="eastAsia" w:ascii="宋体" w:hAnsi="宋体" w:cs="宋体"/>
          <w:color w:val="auto"/>
          <w:sz w:val="21"/>
          <w:szCs w:val="21"/>
          <w:highlight w:val="none"/>
          <w:u w:val="single"/>
          <w:lang w:val="en-US" w:eastAsia="zh-CN"/>
        </w:rPr>
        <w:t>10000</w:t>
      </w:r>
      <w:r>
        <w:rPr>
          <w:rFonts w:hint="eastAsia" w:ascii="宋体" w:hAnsi="宋体" w:eastAsia="宋体" w:cs="宋体"/>
          <w:color w:val="auto"/>
          <w:sz w:val="21"/>
          <w:szCs w:val="21"/>
          <w:highlight w:val="none"/>
          <w:u w:val="single"/>
        </w:rPr>
        <w:t>元违约金；</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C、承包人未做好工程垃圾处理出土处置台账的，承包人应支付 </w:t>
      </w:r>
      <w:r>
        <w:rPr>
          <w:rFonts w:hint="eastAsia" w:ascii="宋体" w:hAnsi="宋体" w:cs="宋体"/>
          <w:color w:val="auto"/>
          <w:sz w:val="21"/>
          <w:szCs w:val="21"/>
          <w:highlight w:val="none"/>
          <w:u w:val="single"/>
          <w:lang w:val="en-US" w:eastAsia="zh-CN"/>
        </w:rPr>
        <w:t>10000</w:t>
      </w:r>
      <w:r>
        <w:rPr>
          <w:rFonts w:hint="eastAsia" w:ascii="宋体" w:hAnsi="宋体" w:eastAsia="宋体" w:cs="宋体"/>
          <w:color w:val="auto"/>
          <w:sz w:val="21"/>
          <w:szCs w:val="21"/>
          <w:highlight w:val="none"/>
          <w:u w:val="single"/>
        </w:rPr>
        <w:t>元违约金；</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D、承包人在结算前未查验接纳回执，与运输、处置单位结算相关费用的，承包人应支付  </w:t>
      </w:r>
      <w:r>
        <w:rPr>
          <w:rFonts w:hint="eastAsia" w:ascii="宋体" w:hAnsi="宋体" w:cs="宋体"/>
          <w:color w:val="auto"/>
          <w:sz w:val="21"/>
          <w:szCs w:val="21"/>
          <w:highlight w:val="none"/>
          <w:u w:val="single"/>
          <w:lang w:val="en-US" w:eastAsia="zh-CN"/>
        </w:rPr>
        <w:t>10000</w:t>
      </w:r>
      <w:r>
        <w:rPr>
          <w:rFonts w:hint="eastAsia" w:ascii="宋体" w:hAnsi="宋体" w:eastAsia="宋体" w:cs="宋体"/>
          <w:color w:val="auto"/>
          <w:sz w:val="21"/>
          <w:szCs w:val="21"/>
          <w:highlight w:val="none"/>
          <w:u w:val="single"/>
        </w:rPr>
        <w:t>元违约金；</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E、承包人未按照已备案的渣土处置方案落实渣土处置措施的，承包人应支付 </w:t>
      </w:r>
      <w:r>
        <w:rPr>
          <w:rFonts w:hint="eastAsia" w:ascii="宋体" w:hAnsi="宋体" w:cs="宋体"/>
          <w:color w:val="auto"/>
          <w:sz w:val="21"/>
          <w:szCs w:val="21"/>
          <w:highlight w:val="none"/>
          <w:u w:val="single"/>
          <w:lang w:val="en-US" w:eastAsia="zh-CN"/>
        </w:rPr>
        <w:t>10000</w:t>
      </w:r>
      <w:r>
        <w:rPr>
          <w:rFonts w:hint="eastAsia" w:ascii="宋体" w:hAnsi="宋体" w:eastAsia="宋体" w:cs="宋体"/>
          <w:color w:val="auto"/>
          <w:sz w:val="21"/>
          <w:szCs w:val="21"/>
          <w:highlight w:val="none"/>
          <w:u w:val="single"/>
        </w:rPr>
        <w:t>元违约金；</w:t>
      </w:r>
    </w:p>
    <w:p>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F、承包人未能按照合同约定履行其他义务的，视情况扣罚结算价。</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因承包人违约致使发包人为维护自身权益所支出的律师费、诉讼费、财产保全费等均由承包人承担。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16.2.3  因承包人违约解除合同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关于承包人违约解除合同的特别约定：</w:t>
      </w:r>
      <w:r>
        <w:rPr>
          <w:rFonts w:hint="eastAsia" w:ascii="宋体" w:hAnsi="宋体" w:eastAsia="宋体" w:cs="宋体"/>
          <w:color w:val="auto"/>
          <w:sz w:val="21"/>
          <w:szCs w:val="21"/>
          <w:u w:val="single"/>
        </w:rPr>
        <w:t xml:space="preserve">按《通用合同条款》16.2.3条执行和《专用合同条款》16.2.1款执行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u w:val="single"/>
        </w:rPr>
        <w:t>由承包人承担相应费用</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17  不可抗力 </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  不可抗力的确认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除通用合同条款约定的不可抗力事件之外，视为不可抗力的其他情形：</w:t>
      </w:r>
      <w:r>
        <w:rPr>
          <w:rFonts w:hint="eastAsia" w:ascii="宋体" w:hAnsi="宋体" w:eastAsia="宋体" w:cs="宋体"/>
          <w:color w:val="auto"/>
          <w:sz w:val="21"/>
          <w:szCs w:val="21"/>
          <w:u w:val="single"/>
        </w:rPr>
        <w:t xml:space="preserve">六级以上地震、山洪暴发、战争、十级以上台风及其他属于承包人不能预见、不能避免并不能克服的客观情况。有关风、雨、雷、震、洪以当地政府发出的自然灾害通报为准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17.2  因不可抗力解除合同</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28 </w:t>
      </w:r>
      <w:r>
        <w:rPr>
          <w:rFonts w:hint="eastAsia" w:ascii="宋体" w:hAnsi="宋体" w:eastAsia="宋体" w:cs="宋体"/>
          <w:color w:val="auto"/>
          <w:sz w:val="21"/>
          <w:szCs w:val="21"/>
        </w:rPr>
        <w:t>天内完成款项的支付。付款前承包人应向发包人提供符合发包人要求的等额发票。</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  保险</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18.1  工程保险</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sz w:val="21"/>
          <w:szCs w:val="21"/>
          <w:u w:val="single"/>
        </w:rPr>
        <w:t>承包人应为建设工程和施工场地内的自有人员设备及第三方生命财产等办理保险并支付保险费用，费用已包含在总价</w:t>
      </w:r>
      <w:r>
        <w:rPr>
          <w:rFonts w:hint="eastAsia" w:ascii="宋体" w:hAnsi="宋体" w:eastAsia="宋体" w:cs="宋体"/>
          <w:color w:val="auto"/>
          <w:sz w:val="21"/>
          <w:szCs w:val="21"/>
        </w:rPr>
        <w:t>。如未办理，由此产生的一切责任和损失均由承包人承担。</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18.2 其他保险</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是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 通知义务</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关于变更保险合同时的通知义务的约定：</w:t>
      </w:r>
      <w:r>
        <w:rPr>
          <w:rFonts w:hint="eastAsia" w:ascii="宋体" w:hAnsi="宋体" w:eastAsia="宋体" w:cs="宋体"/>
          <w:color w:val="auto"/>
          <w:sz w:val="21"/>
          <w:szCs w:val="21"/>
          <w:u w:val="single"/>
        </w:rPr>
        <w:t>按《通用合同条款》约定</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  争议解决</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19.1  争议评审</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不同意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19.1.1  争议评审小组的确定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19.1.2 争议评审小组的决定</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19.2  仲裁或诉讼</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因合同及合同有关事项发生的争议，双方当事人一致同意按下列解决方式中第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种方式解决争议：</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（1）提交</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仲裁委员会申请仲裁；</w:t>
      </w:r>
    </w:p>
    <w:p>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（2）依法向</w:t>
      </w:r>
      <w:r>
        <w:rPr>
          <w:rFonts w:hint="eastAsia" w:ascii="宋体" w:hAnsi="宋体" w:eastAsia="宋体" w:cs="宋体"/>
          <w:color w:val="auto"/>
          <w:sz w:val="21"/>
          <w:szCs w:val="21"/>
          <w:u w:val="single"/>
        </w:rPr>
        <w:t xml:space="preserve">    工程所在地     </w:t>
      </w:r>
      <w:r>
        <w:rPr>
          <w:rFonts w:hint="eastAsia" w:ascii="宋体" w:hAnsi="宋体" w:eastAsia="宋体" w:cs="宋体"/>
          <w:color w:val="auto"/>
          <w:sz w:val="21"/>
          <w:szCs w:val="21"/>
        </w:rPr>
        <w:t>人民法院起诉。</w:t>
      </w:r>
    </w:p>
    <w:p>
      <w:pPr>
        <w:spacing w:line="40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20．其他补充事项的约定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20.1招标文件、投标文件、补充协议、设计文件、询标纪要、施工现场统一管理协议、建设方工程管理流程制度作为本合同的组成部分。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 因承包人原因造成工程进度严重滞后，或承包人在工期滞后并接到发包人工程师要求整改通知后仍未有效改善工程进度的，发包人有权按照承包人违约终止合同。承包人应在10天内无条件清场。10天内不清场的，视为已清场处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20.3中标人在投标文件中隐含与招标文件相违背的内容，并且影响了招标人的利益，评标专家在评标中没有发现，并不代表招标人认可此内容，未经招标人同意此内容无效，此内容对招标人无约束力。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20.4</w:t>
      </w:r>
      <w:r>
        <w:rPr>
          <w:rFonts w:hint="eastAsia" w:ascii="宋体" w:hAnsi="宋体" w:eastAsia="宋体" w:cs="宋体"/>
          <w:color w:val="auto"/>
          <w:kern w:val="0"/>
          <w:sz w:val="21"/>
          <w:szCs w:val="21"/>
          <w:u w:val="single"/>
        </w:rPr>
        <w:t>承包人应确保民工工资的及时支付，发包人不予垫付。如承包人不及时支付，视作违约，按拖欠人数以每人5000元/次向发包人承担违约责任；如工程款未付清时，发包人可直接从工程款中扣除违约金或在应付工程款中直接垫付农民工工资报酬并从工程款中扣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20.5承包人在中标后不得以任何理由拒绝发包人要求的工程量的增加或减少及工作内容的变更。</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20.6发包人根据国家造价管理的有关规定以及审计部门审定的工程结算价，与承包人办理最终价款结算手续。联系单管理按《西湖区政府投资项目工程变更管理办法》（西政办【2016】99号）执行，未履行规定程序的联系单，不得纳入工程结算，变更价款在结算审计后按审定价结算。。</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20.7材料与工程设备的保管与使用：</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本工程所需所有材料和设备均须经发包人确认后由承包人采购提供。采购、使用前应经监理工程师核验所有材料和设备与设计及投标承诺的质量、规格是否相符，签字确认。如事后发现不合格材料和设备或不符合设计、投标文件承诺的材料和设备，监理工程师或发包人代表将拒绝使用，承包人应无条件负责更换或返工，并承担由此发生的费用和工期损失。</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本次招标工程所需的所有材料，承包人应在采购前向业主送样并经业主、监理签证确认，未经签证而使用的材料业主将不予支付该部分的工程款，投标人应在投标文件中明确主要材料品牌、规格和质量等级相关指标，中标后未经业主认可不得调换。</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（3）承包人提供的材料设备产品的质量必须符合设计要求及国家建材行业和机电行业等国家标准的要求；</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（4）如承包人以材料和设备采购困难等理由延误工期时，招标人可自行组织采购，视为甲供材料，费用从投标人工程款中扣除，并处以相同款项处罚。</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20.8承包人在中标后视为对招标文件中和投标文件中的承诺，不得随意提出材料品种和规格的变更，除非发包人和设计的同意，也不得以采购困难等理由延误工期，否则发包人可自行组织采购，视为甲供材料，费用从承包人工程款中扣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20.9其他工程变更：</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（1）设计图纸变更需经原设计单位同意，发包人认可，并以设计单位发出设计变更通知单为准；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（2）其它变更，需经监理人、发包人两方同意；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联系单管理按《西湖区政府投资项目工程变更管理办法》（西政办【2016】99号）执行，未履行规定程序的联系单，不得纳入工程结算，变更价款在结算审计后按审定价结算，未履行规定程序的联系单，不得纳入结算。</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20.10结算审核：</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（1）甲方根据国家造价管理的有关规定以及审计部门审定的工程结算，与乙方办理最终价款结算手续。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（2）承包方应当在工程验收合格后的 3个月内向发包方提交完整的工程竣工结算资料，经发包人催促后14天内仍未提供或没有明确答复，发包人有权根据已有资料进行审查，责任由承包人自负。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（3）结算审查费用按西政办【2011】98号文件，与承包人办理最终价款结算手续。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20.11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20.12施工中采取的必要组织措施，如：施工临时道路、公共道路进出口通道、场地排水、降水、停电时自发电、二次搬运、施工场地不足、成品保护、冬雨季施工等所需措施的一切费用和工期，以及其他各种可能因素影响施工所增加的费用均应含在投标报价中，一次性包干。公共费用（包括且不限于定额规定的全部费用，管理部门各项规费、勘察现场费用、履约保函手续费、工程保险费及所有相关劳保、环卫、市容、消防、环保、治安保卫、交通设施、卫生防疫、计划生育及与周边单位和人员协调等一切费用）等费用）由投标人自行调研作为单项费用计入措施项目费中，否则视作优惠；投标人应对施工现场进行踏勘，充分了解现场情况，对技术难度和安全性引起特别重视，所发生的费用全部包括在投标报价中。本工程施工用水、用电和临设场地均由投标单位自行解决，费用列入措施包干。</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20.13施工期间由于承包人原因造成施工方案的更改，所增加的工程费用及工期一概不予调整，属施工技术组织措施失误造成的费用及延误工期均由承包人承担。对施工组织设计的内容未在投标报价中体现的均视同优惠。</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20.14在工程通过验收前，对已完成工程（含招标人专业分包且已移交给投标人的工程）成品的保护工作由投标人负责，费用在投标报价中包干。</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20.15竣工资料送业主产生的费用由中标单位承担，请投标单位在投标报价中考虑，不另行支付。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20.16本工程在实施过程中，招标人将根据施工现场的实际情况，对本次招标范围内的内容进行调整（增加或减少），相关的配合、投标风险等费用由投标单位自行考虑并报价。</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20.18其他：</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1）在本工程施工的各主要出入口须按杭州市建委的文件要求搭设彩钢板维护。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投标人根据现场的实际情况如地形地貌测量、现场交通情况、排水组织情况等可见事宜与图纸清单有差异的，以踏勘实际情况为准，投标人不得以因现场施工条件发生变化拒绝进行施工，费用自行考虑在投标报价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3）施工过程中水电接入点由中标单位自行考虑在投标报价。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4）投标单位对现场有相应的成品保护措施，如有损坏及时恢复，如不恢复，招标单位可直接委托相应单位进行恢复，费用自行考虑在投标报价中。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5）投标人在踏勘现场时间，应充分了解现场的地下管线、构筑物，施工过程中做好相应的保护措施。费用自行考虑在投标报价中。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6）施工用水、用电由中标人负责自行接通，相关费用由中标人承担进入报价。投标人应考虑自备发电设备和临时蓄水池，以防止施工过程中的临时停电和停水对工程进度和质量等的影响，费用包含在相关措施费中，否则作优惠处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7）由承包人负责建设施工临时道路并且与公共道路相连通，并做好已建道路工程的保护工作，同时到相应职能部门办理相关手续，费用纳入措施项目费中。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8）本工程工程量清单与图纸一起作为招标文件的一部分提供给投标人，投标人必须根据图纸、规范、相关法律法规、现场情况进行报价，投标人应认真审读图纸及清单描述；如清单未描述，但又是完成分项工程必须的工作内容，此费用均应含在报价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9）竣工资料收集整理产生的费用由中标单位承担，请投标单位在投标报价中考虑，不另行支付。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10）施工期间由于承包人原因造成施工方案的更改，所增加的工程费用及工期一概不予调整，属施工技术组织措施失误造成的费用及延误工期均由承包人承担。对施工组织设计的内容未在投标报价中体现的均视同优惠。</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11）中标单位有责任为招标人、监理单位、质监单位和设计单位等进行工程检查时免费提供安全保护用具和各种设施的方便，该项费用在投标时应考虑。</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12）本工程与其它配套（电力、燃气、自来水、华数、电信）等施工将有可能同时交叉进行，为配合其它专业工程施工而产生的施工配合费、管理费；投标人自行考虑计入措施费中，招标人不另支付。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13）《杭州市建设工程施工现场安装在线监测系统的通知》要求，本工程需安装在线监测系统，相关费用在“文明施工措施项目清单及计价表”中记取。</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14）施工现场围挡投标人必须按照主管部门颁发的有关文件结合本工程特点进行综合考虑费用计入措施项目费中，否则视作优惠。</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15）投标人必须对施工现场进行踏勘，了解现场情况（现场位置、地形地貌、现场交通情况、临时道路、公共道路进出口、存储空间、装卸限制、用水用电接入点、排水组织）等可见事宜与图纸清单有差异的，以踏勘实际情况为准。任何因忽视或误解施工现场情况而导致的费用索赔或工期延长申请将不获批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16）投标单位应加强地下管网设施的保护，相关费用在投标报价中综合考虑中标后不予调整。若因施工原因导致地下管网破坏等情况，投标人负责修复及赔偿责任。</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17）环境保护及安全生产、文明施工根据国家及杭州市的有关要求，同时必须严格遵守招标人有关施工现场管理的要求，否则，招标人有权扣除履约保证金中的安全、文明施工保证金。</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18）当中标人未按合同约定履行义务，造成质量低下，进度迟缓、管理混乱，发包方有权解除合同，如给发包人造成的损失超过履约保证金数额的还应当对超过部分予以赔偿，并依法承担相应的法律责任；将中标项目转让（转包给他人）的处罚额为合同价的1%。</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19）中标人应确保民工工资的及时支付，如不及时支付，视作违约，按杭建市【2011】213号文的规定执行。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不定期进行安全文明施工检查，施工单位应及时整改，被一次警告后不作处罚，限期整改，被二次警告后扣除相应比例的文明施工费，另若由于施工不文明、不安全而被新闻单位曝光或交通或市政公用管理部门检查后通报，每次扣除承包人承诺的履约保证金壹万元整。</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21）本工程工期较紧，相应赶工措施费用包含在投标报价中。投标人所报的规费中必须包含危险作业意外伤害保险费用，否则视同投标人优惠。</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22）措施项目费由投标人在投标报价中包干。投标报价必须与施工组织设计相一致，对施工组织设计的内容未在投标报价中体现的均视同投标人优惠，费用在投标报价中包干。</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23）投标人必须深入调查现场，根据施工经验充分考虑风险因素，将现场情况的处理、现场因素引起的其他情况的处理(包括地下障碍物清理及不良地质处理等)，在投标报价和施工工期中包干，中标后不再调整。</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24）根据施工及验收规范要求，本次招标范围内所有质量检测项目（见证取样检测及专项检测）所涉及费用由投标人自行测算费用计入措施费用，费用一次性包干，否则视作优惠。</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25）如果投标人提供的工日、材料（设备）、机械台班价格及综合单价分析表和工料机分析表与综合单价有矛盾，应以综合单价为准，同时投标人应按要求作出澄清，如不同意按综合单价为准或不能作出澄清，则按废标或放弃中标处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26）中标人在投标文件中承诺的管理人员（项目经理、技术负责人、施工员、安全员、质检员、材料员、资料员）配备数量应满足本工程管理的需要和相应规范、文件要求，且必须到位。在施工期间不准更换，特殊情况要求更换的项目经理的，须经招标人同意并报质监站认可备案。</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27）整个工程交付前，由中标人负责保护，费用请投标人综合考虑在报价中。</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28）因工期较紧，进场后施工单位需考虑与各相关单位交叉施工的影响，相关费用由投标单位在投标报价中自行考虑，费用包干。</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29）施工进出主要道路由中标人负责维护和保洁扬尘控制，相关报价在投标报价中综合考虑。</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30）每次工程进度款支付前需由发方包组织人员现场专项检查和验收合格后方可支付。</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31）对监理通知单或业主单位发出的整改通知，施工单位未能在规定时间内整改到位，监理和业主将对施工单位处以5000元/次的罚款，并在当期的工程计量款中扣除。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32）投标人应充分响应杭州市委、市政府关于工程运输车安全整治有关问题的相关意见，落实好工程安全运输责任制。</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33）工程车运输土方须办理渣土准运证，若不办理，每发现一次处罚2万元，并需立即整改到位。</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34）招标人有权取消或调整招标范围内的任何专业或项目，投标人须无条件接受，调整部分按实结算，取消部分相应扣除投标相对应的费用。</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35）本工程临时设施场地由施工单位自行解决，如施工单位需在项目红线外借地的，相关费用在投标报价时自行考虑，否则视为优惠。</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36）承包人应强化安全意识，抓好安全生产，消除安全隐患 ，杜绝事故发生，施工中若发生安全及人身事故均由承包人自行负责处理，并承担全部费用，非承包人原因造成的除外。施工过程中若发生死亡事故，按照20万元/人进行处罚，且必须在事发后立即启动应急预案，并在24小时内按事故等级通报上级，并做好事故处理和善后等各类事宜。否则发包人有权直接处理，相关费用在履约保证金或工程款中直接扣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37）临时设施及附属障碍物的清除外运等工作由承包人负责实施，相关费用由投标人在投标报价中综合考虑，中标后将不作调整。若承包人没有履行该项工作，建设方可另行委托单位实施，相关费用可直接从相应工程款中扣除。</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38）有关安全生产的事宜，请按《杭州市建设工程施工安全管理条例》的有关规定考虑。</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39）本工程质安检查由中标单位办理。</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20.19施工单位必须服从监理的管理，及时回复和处理监理正确指令和监理通知单等。 施工前期及过程中，施工单位需做相应的影像资料，作为移交资料、工程反检及审计依据。工程周报、月报均做成PPT形式的文件，报监理及发包方，承方包现场配备一台投影仪及电脑，以便在监理例会和工程例会中播放。</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20.20本合同未尽事宜，双方另行协商补充。在法律效力上，协商确定日期在后的内容其解释权优先。 </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20.21《工程询标纪要》中明确的相关事宜，中标人应认真履行。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20.22正式签订合同时对“ / ”部分如有需要可进行补充。</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20.23招标人保留在正式签订时修改合同条款的权利。</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20.24在工程过程中承包人出现威胁、侮辱监理人或委托人等行为的，每出现一次，处罚10000元；出现推搡、殴打监理人或委托人行为的，每出现一次，处罚50000元。导致监理人或委托人人员受伤的，赔偿相关费用并交由公安机关处理。所有参与人员一律清退，项目主要管理人员按要求更换，情节恶劣的按照承包人违约终止合同。</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20.25每月对承包人项目工程进度、质量、安全文明施工情况予以考核，如不能满足合同约定相关规定要求，则发包人和监理人根据实际情况在工程款支付时扣罚相关款项，情节严重的停付当月进度款。</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20.26施工完成后，临时设施必须拆除不得转让。由承包人负责，如不予拆除，发包人有权另行委托第三方拆除，由此产生的一切费用均由承包人承担。</w:t>
      </w:r>
    </w:p>
    <w:p>
      <w:p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20.27如果出现需要二次进场情况,则发包人不另行支付费用。</w:t>
      </w:r>
    </w:p>
    <w:p>
      <w:pPr>
        <w:spacing w:after="120" w:line="360" w:lineRule="auto"/>
        <w:rPr>
          <w:rFonts w:ascii="宋体" w:hAnsi="宋体"/>
          <w:color w:val="auto"/>
          <w:sz w:val="24"/>
          <w:szCs w:val="24"/>
        </w:rPr>
      </w:pPr>
      <w:r>
        <w:rPr>
          <w:rFonts w:hint="eastAsia" w:ascii="宋体" w:hAnsi="宋体" w:cs="仿宋"/>
          <w:color w:val="auto"/>
          <w:sz w:val="24"/>
          <w:szCs w:val="24"/>
        </w:rPr>
        <w:br w:type="page"/>
      </w:r>
    </w:p>
    <w:p>
      <w:pPr>
        <w:spacing w:line="360" w:lineRule="auto"/>
        <w:jc w:val="left"/>
        <w:rPr>
          <w:rFonts w:ascii="宋体" w:hAnsi="宋体"/>
          <w:b/>
          <w:color w:val="auto"/>
          <w:sz w:val="21"/>
          <w:szCs w:val="21"/>
        </w:rPr>
      </w:pPr>
    </w:p>
    <w:p>
      <w:pPr>
        <w:spacing w:line="360" w:lineRule="auto"/>
        <w:jc w:val="left"/>
        <w:rPr>
          <w:rFonts w:ascii="宋体" w:hAnsi="宋体"/>
          <w:b/>
          <w:color w:val="auto"/>
          <w:sz w:val="21"/>
          <w:szCs w:val="21"/>
        </w:rPr>
      </w:pPr>
      <w:r>
        <w:rPr>
          <w:rFonts w:ascii="宋体" w:hAnsi="宋体"/>
          <w:b/>
          <w:color w:val="auto"/>
          <w:sz w:val="21"/>
          <w:szCs w:val="21"/>
        </w:rPr>
        <w:t>附件</w:t>
      </w:r>
    </w:p>
    <w:p>
      <w:pPr>
        <w:spacing w:line="360" w:lineRule="auto"/>
        <w:jc w:val="left"/>
        <w:rPr>
          <w:rFonts w:hint="eastAsia" w:ascii="宋体" w:hAnsi="宋体"/>
          <w:color w:val="auto"/>
          <w:sz w:val="21"/>
          <w:szCs w:val="21"/>
        </w:rPr>
      </w:pPr>
      <w:r>
        <w:rPr>
          <w:rFonts w:hint="eastAsia" w:ascii="宋体" w:hAnsi="宋体"/>
          <w:color w:val="auto"/>
          <w:sz w:val="21"/>
          <w:szCs w:val="21"/>
        </w:rPr>
        <w:t>协议书附件：</w:t>
      </w:r>
    </w:p>
    <w:p>
      <w:pPr>
        <w:spacing w:line="360" w:lineRule="auto"/>
        <w:jc w:val="left"/>
        <w:rPr>
          <w:rFonts w:hint="eastAsia" w:ascii="宋体" w:hAnsi="宋体"/>
          <w:color w:val="auto"/>
          <w:sz w:val="21"/>
          <w:szCs w:val="21"/>
        </w:rPr>
      </w:pPr>
      <w:r>
        <w:rPr>
          <w:rFonts w:ascii="宋体" w:hAnsi="宋体"/>
          <w:color w:val="auto"/>
          <w:sz w:val="21"/>
          <w:szCs w:val="21"/>
        </w:rPr>
        <w:t>附件1：承包人承揽工程项目一览表</w:t>
      </w:r>
    </w:p>
    <w:p>
      <w:pPr>
        <w:spacing w:line="360" w:lineRule="auto"/>
        <w:jc w:val="left"/>
        <w:rPr>
          <w:rFonts w:ascii="宋体" w:hAnsi="宋体"/>
          <w:color w:val="auto"/>
          <w:sz w:val="21"/>
          <w:szCs w:val="21"/>
        </w:rPr>
      </w:pPr>
      <w:r>
        <w:rPr>
          <w:rFonts w:hint="eastAsia" w:ascii="宋体" w:hAnsi="宋体"/>
          <w:color w:val="auto"/>
          <w:sz w:val="21"/>
          <w:szCs w:val="21"/>
        </w:rPr>
        <w:t>专用合同条款附件：</w:t>
      </w:r>
    </w:p>
    <w:p>
      <w:pPr>
        <w:spacing w:line="360" w:lineRule="auto"/>
        <w:jc w:val="left"/>
        <w:rPr>
          <w:rFonts w:ascii="宋体" w:hAnsi="宋体"/>
          <w:color w:val="auto"/>
          <w:sz w:val="21"/>
          <w:szCs w:val="21"/>
        </w:rPr>
      </w:pPr>
      <w:r>
        <w:rPr>
          <w:rFonts w:ascii="宋体" w:hAnsi="宋体"/>
          <w:color w:val="auto"/>
          <w:sz w:val="21"/>
          <w:szCs w:val="21"/>
        </w:rPr>
        <w:t>附件2：发包人供应材料设备一览表</w:t>
      </w:r>
    </w:p>
    <w:p>
      <w:pPr>
        <w:spacing w:line="360" w:lineRule="auto"/>
        <w:jc w:val="left"/>
        <w:rPr>
          <w:rFonts w:ascii="宋体" w:hAnsi="宋体"/>
          <w:color w:val="auto"/>
          <w:sz w:val="21"/>
          <w:szCs w:val="21"/>
        </w:rPr>
      </w:pPr>
      <w:r>
        <w:rPr>
          <w:rFonts w:ascii="宋体" w:hAnsi="宋体"/>
          <w:color w:val="auto"/>
          <w:sz w:val="21"/>
          <w:szCs w:val="21"/>
        </w:rPr>
        <w:t>附件3：工程质量保修书</w:t>
      </w:r>
    </w:p>
    <w:p>
      <w:pPr>
        <w:spacing w:line="360" w:lineRule="auto"/>
        <w:jc w:val="left"/>
        <w:rPr>
          <w:rFonts w:ascii="宋体" w:hAnsi="宋体"/>
          <w:color w:val="auto"/>
          <w:sz w:val="21"/>
          <w:szCs w:val="21"/>
        </w:rPr>
      </w:pPr>
      <w:r>
        <w:rPr>
          <w:rFonts w:ascii="宋体" w:hAnsi="宋体"/>
          <w:color w:val="auto"/>
          <w:sz w:val="21"/>
          <w:szCs w:val="21"/>
        </w:rPr>
        <w:t>附件4：主要建设工程文件目录</w:t>
      </w:r>
    </w:p>
    <w:p>
      <w:pPr>
        <w:spacing w:line="360" w:lineRule="auto"/>
        <w:jc w:val="left"/>
        <w:rPr>
          <w:rFonts w:ascii="宋体" w:hAnsi="宋体"/>
          <w:color w:val="auto"/>
          <w:sz w:val="21"/>
          <w:szCs w:val="21"/>
        </w:rPr>
      </w:pPr>
      <w:r>
        <w:rPr>
          <w:rFonts w:ascii="宋体" w:hAnsi="宋体"/>
          <w:color w:val="auto"/>
          <w:sz w:val="21"/>
          <w:szCs w:val="21"/>
        </w:rPr>
        <w:t>附件5：承包人用于本工程施工的机械设备表</w:t>
      </w:r>
    </w:p>
    <w:p>
      <w:pPr>
        <w:spacing w:line="360" w:lineRule="auto"/>
        <w:jc w:val="left"/>
        <w:rPr>
          <w:rFonts w:ascii="宋体" w:hAnsi="宋体"/>
          <w:color w:val="auto"/>
          <w:sz w:val="21"/>
          <w:szCs w:val="21"/>
        </w:rPr>
      </w:pPr>
      <w:r>
        <w:rPr>
          <w:rFonts w:ascii="宋体" w:hAnsi="宋体"/>
          <w:color w:val="auto"/>
          <w:sz w:val="21"/>
          <w:szCs w:val="21"/>
        </w:rPr>
        <w:t>附件6：承包人主要施工管理人员表</w:t>
      </w:r>
    </w:p>
    <w:p>
      <w:pPr>
        <w:spacing w:line="360" w:lineRule="auto"/>
        <w:jc w:val="left"/>
        <w:rPr>
          <w:rFonts w:ascii="宋体" w:hAnsi="宋体"/>
          <w:color w:val="auto"/>
          <w:sz w:val="21"/>
          <w:szCs w:val="21"/>
        </w:rPr>
      </w:pPr>
      <w:r>
        <w:rPr>
          <w:rFonts w:ascii="宋体" w:hAnsi="宋体"/>
          <w:color w:val="auto"/>
          <w:sz w:val="21"/>
          <w:szCs w:val="21"/>
        </w:rPr>
        <w:t>附件7：分包人主要施工管理人员表</w:t>
      </w:r>
    </w:p>
    <w:p>
      <w:pPr>
        <w:spacing w:line="360" w:lineRule="auto"/>
        <w:jc w:val="left"/>
        <w:rPr>
          <w:rFonts w:ascii="宋体" w:hAnsi="宋体"/>
          <w:color w:val="auto"/>
          <w:sz w:val="21"/>
          <w:szCs w:val="21"/>
        </w:rPr>
      </w:pPr>
      <w:r>
        <w:rPr>
          <w:rFonts w:ascii="宋体" w:hAnsi="宋体"/>
          <w:color w:val="auto"/>
          <w:sz w:val="21"/>
          <w:szCs w:val="21"/>
        </w:rPr>
        <w:t>附件8：履约担保格式</w:t>
      </w:r>
    </w:p>
    <w:p>
      <w:pPr>
        <w:spacing w:line="360" w:lineRule="auto"/>
        <w:jc w:val="left"/>
        <w:rPr>
          <w:rFonts w:ascii="宋体" w:hAnsi="宋体"/>
          <w:color w:val="auto"/>
          <w:sz w:val="21"/>
          <w:szCs w:val="21"/>
        </w:rPr>
      </w:pPr>
      <w:r>
        <w:rPr>
          <w:rFonts w:ascii="宋体" w:hAnsi="宋体"/>
          <w:color w:val="auto"/>
          <w:sz w:val="21"/>
          <w:szCs w:val="21"/>
        </w:rPr>
        <w:t>附件9：预付款担保格式</w:t>
      </w:r>
    </w:p>
    <w:p>
      <w:pPr>
        <w:spacing w:line="360" w:lineRule="auto"/>
        <w:jc w:val="left"/>
        <w:rPr>
          <w:rFonts w:ascii="宋体" w:hAnsi="宋体"/>
          <w:color w:val="auto"/>
          <w:sz w:val="21"/>
          <w:szCs w:val="21"/>
        </w:rPr>
      </w:pPr>
      <w:r>
        <w:rPr>
          <w:rFonts w:ascii="宋体" w:hAnsi="宋体"/>
          <w:color w:val="auto"/>
          <w:sz w:val="21"/>
          <w:szCs w:val="21"/>
        </w:rPr>
        <w:t>附件10：支付担保格式</w:t>
      </w:r>
    </w:p>
    <w:p>
      <w:pPr>
        <w:spacing w:line="360" w:lineRule="auto"/>
        <w:jc w:val="left"/>
        <w:rPr>
          <w:rFonts w:ascii="Times New Roman" w:hAnsi="Times New Roman" w:eastAsia="黑体"/>
          <w:color w:val="auto"/>
          <w:sz w:val="21"/>
          <w:szCs w:val="21"/>
        </w:rPr>
        <w:sectPr>
          <w:pgSz w:w="11906" w:h="16838"/>
          <w:pgMar w:top="1418" w:right="1555" w:bottom="1418" w:left="1531" w:header="851" w:footer="992" w:gutter="0"/>
          <w:pgNumType w:start="1"/>
          <w:cols w:space="720" w:num="1"/>
          <w:titlePg/>
          <w:docGrid w:type="lines" w:linePitch="312" w:charSpace="0"/>
        </w:sectPr>
      </w:pPr>
      <w:r>
        <w:rPr>
          <w:rFonts w:ascii="宋体" w:hAnsi="宋体"/>
          <w:color w:val="auto"/>
          <w:sz w:val="21"/>
          <w:szCs w:val="21"/>
        </w:rPr>
        <w:t>附件11：暂估价一览表</w:t>
      </w:r>
    </w:p>
    <w:p>
      <w:pPr>
        <w:spacing w:line="440" w:lineRule="exact"/>
        <w:rPr>
          <w:rFonts w:ascii="宋体" w:hAnsi="宋体"/>
          <w:color w:val="auto"/>
          <w:sz w:val="30"/>
          <w:szCs w:val="30"/>
        </w:rPr>
      </w:pPr>
      <w:r>
        <w:rPr>
          <w:rFonts w:ascii="宋体" w:hAnsi="宋体"/>
          <w:color w:val="auto"/>
          <w:sz w:val="30"/>
          <w:szCs w:val="30"/>
        </w:rPr>
        <w:t>附</w:t>
      </w:r>
      <w:bookmarkStart w:id="480" w:name="_Toc296944564"/>
      <w:bookmarkStart w:id="481" w:name="_Toc296503225"/>
      <w:bookmarkStart w:id="482" w:name="_Toc296347224"/>
      <w:bookmarkStart w:id="483" w:name="_Toc296891265"/>
      <w:bookmarkStart w:id="484" w:name="_Toc267261692"/>
      <w:bookmarkStart w:id="485" w:name="_Toc296346726"/>
      <w:bookmarkStart w:id="486" w:name="_Toc296891053"/>
      <w:r>
        <w:rPr>
          <w:rFonts w:ascii="宋体" w:hAnsi="宋体"/>
          <w:color w:val="auto"/>
          <w:sz w:val="30"/>
          <w:szCs w:val="30"/>
        </w:rPr>
        <w:t>件2：</w:t>
      </w:r>
    </w:p>
    <w:bookmarkEnd w:id="480"/>
    <w:bookmarkEnd w:id="481"/>
    <w:bookmarkEnd w:id="482"/>
    <w:bookmarkEnd w:id="483"/>
    <w:bookmarkEnd w:id="484"/>
    <w:bookmarkEnd w:id="485"/>
    <w:bookmarkEnd w:id="486"/>
    <w:p>
      <w:pPr>
        <w:spacing w:before="156" w:beforeLines="50" w:after="156" w:afterLines="50" w:line="440" w:lineRule="exact"/>
        <w:jc w:val="center"/>
        <w:rPr>
          <w:rFonts w:hint="eastAsia" w:ascii="宋体" w:hAnsi="宋体"/>
          <w:color w:val="auto"/>
          <w:sz w:val="30"/>
          <w:szCs w:val="30"/>
        </w:rPr>
      </w:pPr>
      <w:r>
        <w:rPr>
          <w:rFonts w:ascii="宋体" w:hAnsi="宋体"/>
          <w:color w:val="auto"/>
          <w:sz w:val="30"/>
          <w:szCs w:val="30"/>
        </w:rPr>
        <w:t>发包人供应材料设备一览表</w:t>
      </w:r>
    </w:p>
    <w:tbl>
      <w:tblPr>
        <w:tblStyle w:val="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序号</w:t>
            </w:r>
          </w:p>
        </w:tc>
        <w:tc>
          <w:tcPr>
            <w:tcW w:w="1276"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hint="eastAsia" w:ascii="宋体" w:hAnsi="宋体"/>
                <w:color w:val="auto"/>
                <w:kern w:val="2"/>
                <w:sz w:val="28"/>
                <w:szCs w:val="30"/>
              </w:rPr>
              <w:t xml:space="preserve"> </w:t>
            </w:r>
            <w:r>
              <w:rPr>
                <w:rFonts w:ascii="宋体" w:hAnsi="宋体"/>
                <w:color w:val="auto"/>
                <w:kern w:val="2"/>
                <w:sz w:val="28"/>
                <w:szCs w:val="30"/>
              </w:rPr>
              <w:t>材料</w:t>
            </w:r>
            <w:r>
              <w:rPr>
                <w:rFonts w:hint="eastAsia" w:ascii="宋体" w:hAnsi="宋体"/>
                <w:color w:val="auto"/>
                <w:kern w:val="2"/>
                <w:sz w:val="28"/>
                <w:szCs w:val="30"/>
                <w:lang w:eastAsia="zh-CN"/>
              </w:rPr>
              <w:t>、</w:t>
            </w:r>
            <w:r>
              <w:rPr>
                <w:rFonts w:ascii="宋体" w:hAnsi="宋体"/>
                <w:color w:val="auto"/>
                <w:kern w:val="2"/>
                <w:sz w:val="28"/>
                <w:szCs w:val="30"/>
              </w:rPr>
              <w:t>设备品种</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规格型号</w:t>
            </w:r>
          </w:p>
        </w:tc>
        <w:tc>
          <w:tcPr>
            <w:tcW w:w="94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单位</w:t>
            </w:r>
          </w:p>
        </w:tc>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数量</w:t>
            </w:r>
          </w:p>
        </w:tc>
        <w:tc>
          <w:tcPr>
            <w:tcW w:w="1044"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单价</w:t>
            </w:r>
            <w:r>
              <w:rPr>
                <w:rFonts w:hint="eastAsia" w:ascii="宋体" w:hAnsi="宋体"/>
                <w:color w:val="auto"/>
                <w:kern w:val="2"/>
                <w:sz w:val="28"/>
                <w:szCs w:val="30"/>
              </w:rPr>
              <w:t>（元）</w:t>
            </w:r>
          </w:p>
        </w:tc>
        <w:tc>
          <w:tcPr>
            <w:tcW w:w="992"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质量等级</w:t>
            </w:r>
          </w:p>
        </w:tc>
        <w:tc>
          <w:tcPr>
            <w:tcW w:w="851"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供应时间</w:t>
            </w:r>
          </w:p>
        </w:tc>
        <w:tc>
          <w:tcPr>
            <w:tcW w:w="1487"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送达地点</w:t>
            </w:r>
          </w:p>
        </w:tc>
        <w:tc>
          <w:tcPr>
            <w:tcW w:w="992"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276"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418"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94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044"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992"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851"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487"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992"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276"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418"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94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851"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044"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992"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851"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487"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992"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940"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044"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c>
          <w:tcPr>
            <w:tcW w:w="851" w:type="dxa"/>
            <w:noWrap w:val="0"/>
            <w:vAlign w:val="center"/>
          </w:tcPr>
          <w:p>
            <w:pPr>
              <w:pStyle w:val="17"/>
              <w:keepNext/>
              <w:spacing w:after="0" w:line="440" w:lineRule="exact"/>
              <w:ind w:left="63" w:right="63"/>
              <w:rPr>
                <w:rFonts w:ascii="宋体" w:hAnsi="宋体"/>
                <w:color w:val="auto"/>
                <w:kern w:val="2"/>
                <w:sz w:val="30"/>
                <w:szCs w:val="30"/>
              </w:rPr>
            </w:pPr>
          </w:p>
        </w:tc>
        <w:tc>
          <w:tcPr>
            <w:tcW w:w="1487" w:type="dxa"/>
            <w:noWrap w:val="0"/>
            <w:vAlign w:val="center"/>
          </w:tcPr>
          <w:p>
            <w:pPr>
              <w:pStyle w:val="17"/>
              <w:keepNext/>
              <w:spacing w:after="0" w:line="440" w:lineRule="exact"/>
              <w:ind w:left="63" w:right="63"/>
              <w:rPr>
                <w:rFonts w:ascii="宋体" w:hAnsi="宋体"/>
                <w:color w:val="auto"/>
                <w:kern w:val="2"/>
                <w:sz w:val="30"/>
                <w:szCs w:val="30"/>
              </w:rPr>
            </w:pPr>
          </w:p>
        </w:tc>
        <w:tc>
          <w:tcPr>
            <w:tcW w:w="99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ascii="宋体" w:hAnsi="宋体"/>
                <w:color w:val="auto"/>
                <w:sz w:val="30"/>
                <w:szCs w:val="30"/>
              </w:rPr>
            </w:pPr>
          </w:p>
        </w:tc>
        <w:tc>
          <w:tcPr>
            <w:tcW w:w="1276" w:type="dxa"/>
            <w:noWrap w:val="0"/>
            <w:vAlign w:val="center"/>
          </w:tcPr>
          <w:p>
            <w:pPr>
              <w:jc w:val="center"/>
              <w:rPr>
                <w:rFonts w:ascii="宋体" w:hAnsi="宋体"/>
                <w:color w:val="auto"/>
                <w:sz w:val="30"/>
                <w:szCs w:val="30"/>
              </w:rPr>
            </w:pPr>
          </w:p>
        </w:tc>
        <w:tc>
          <w:tcPr>
            <w:tcW w:w="1418" w:type="dxa"/>
            <w:noWrap w:val="0"/>
            <w:vAlign w:val="center"/>
          </w:tcPr>
          <w:p>
            <w:pPr>
              <w:jc w:val="center"/>
              <w:rPr>
                <w:rFonts w:ascii="宋体" w:hAnsi="宋体"/>
                <w:color w:val="auto"/>
                <w:sz w:val="30"/>
                <w:szCs w:val="30"/>
              </w:rPr>
            </w:pPr>
          </w:p>
        </w:tc>
        <w:tc>
          <w:tcPr>
            <w:tcW w:w="940"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044"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c>
          <w:tcPr>
            <w:tcW w:w="851" w:type="dxa"/>
            <w:noWrap w:val="0"/>
            <w:vAlign w:val="center"/>
          </w:tcPr>
          <w:p>
            <w:pPr>
              <w:jc w:val="center"/>
              <w:rPr>
                <w:rFonts w:ascii="宋体" w:hAnsi="宋体"/>
                <w:color w:val="auto"/>
                <w:sz w:val="30"/>
                <w:szCs w:val="30"/>
              </w:rPr>
            </w:pPr>
          </w:p>
        </w:tc>
        <w:tc>
          <w:tcPr>
            <w:tcW w:w="1487" w:type="dxa"/>
            <w:noWrap w:val="0"/>
            <w:vAlign w:val="center"/>
          </w:tcPr>
          <w:p>
            <w:pPr>
              <w:jc w:val="center"/>
              <w:rPr>
                <w:rFonts w:ascii="宋体" w:hAnsi="宋体"/>
                <w:color w:val="auto"/>
                <w:sz w:val="30"/>
                <w:szCs w:val="30"/>
              </w:rPr>
            </w:pPr>
          </w:p>
        </w:tc>
        <w:tc>
          <w:tcPr>
            <w:tcW w:w="992" w:type="dxa"/>
            <w:noWrap w:val="0"/>
            <w:vAlign w:val="center"/>
          </w:tcPr>
          <w:p>
            <w:pPr>
              <w:jc w:val="center"/>
              <w:rPr>
                <w:rFonts w:ascii="宋体" w:hAnsi="宋体"/>
                <w:color w:val="auto"/>
                <w:sz w:val="30"/>
                <w:szCs w:val="30"/>
              </w:rPr>
            </w:pPr>
          </w:p>
        </w:tc>
      </w:tr>
    </w:tbl>
    <w:p>
      <w:pPr>
        <w:spacing w:line="440" w:lineRule="exact"/>
        <w:rPr>
          <w:rFonts w:ascii="宋体" w:hAnsi="宋体"/>
          <w:color w:val="auto"/>
          <w:sz w:val="30"/>
          <w:szCs w:val="30"/>
        </w:rPr>
      </w:pPr>
    </w:p>
    <w:p>
      <w:pPr>
        <w:spacing w:line="440" w:lineRule="exact"/>
        <w:rPr>
          <w:rFonts w:ascii="宋体" w:hAnsi="宋体"/>
          <w:color w:val="auto"/>
          <w:sz w:val="24"/>
          <w:szCs w:val="24"/>
        </w:rPr>
      </w:pPr>
      <w:r>
        <w:rPr>
          <w:rFonts w:ascii="宋体" w:hAnsi="宋体"/>
          <w:color w:val="auto"/>
          <w:sz w:val="24"/>
          <w:szCs w:val="24"/>
        </w:rPr>
        <w:t>附</w:t>
      </w:r>
      <w:bookmarkStart w:id="487" w:name="_Toc296503226"/>
      <w:bookmarkStart w:id="488" w:name="_Toc296891054"/>
      <w:bookmarkStart w:id="489" w:name="_Toc296944565"/>
      <w:bookmarkStart w:id="490" w:name="_Toc296347225"/>
      <w:bookmarkStart w:id="491" w:name="_Toc296346727"/>
      <w:bookmarkStart w:id="492" w:name="_Toc267261693"/>
      <w:bookmarkStart w:id="493" w:name="_Toc296891266"/>
      <w:r>
        <w:rPr>
          <w:rFonts w:ascii="宋体" w:hAnsi="宋体"/>
          <w:color w:val="auto"/>
          <w:sz w:val="24"/>
          <w:szCs w:val="24"/>
        </w:rPr>
        <w:t>件3：</w:t>
      </w:r>
      <w:bookmarkEnd w:id="487"/>
      <w:bookmarkEnd w:id="488"/>
      <w:bookmarkEnd w:id="489"/>
      <w:bookmarkEnd w:id="490"/>
      <w:bookmarkEnd w:id="491"/>
      <w:bookmarkEnd w:id="492"/>
      <w:bookmarkEnd w:id="493"/>
      <w:r>
        <w:rPr>
          <w:rFonts w:ascii="宋体" w:hAnsi="宋体"/>
          <w:color w:val="auto"/>
          <w:sz w:val="24"/>
          <w:szCs w:val="24"/>
        </w:rPr>
        <w:t xml:space="preserve">    </w:t>
      </w:r>
    </w:p>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工程质量保修书</w:t>
      </w:r>
    </w:p>
    <w:p>
      <w:pPr>
        <w:spacing w:line="440" w:lineRule="exact"/>
        <w:ind w:firstLine="420" w:firstLineChars="200"/>
        <w:rPr>
          <w:rFonts w:ascii="宋体" w:hAnsi="宋体"/>
          <w:color w:val="auto"/>
          <w:sz w:val="21"/>
          <w:szCs w:val="21"/>
        </w:rPr>
      </w:pPr>
      <w:r>
        <w:rPr>
          <w:rFonts w:ascii="宋体" w:hAnsi="宋体"/>
          <w:color w:val="auto"/>
          <w:sz w:val="21"/>
          <w:szCs w:val="21"/>
        </w:rPr>
        <w:t>发包人（全称）：</w:t>
      </w:r>
      <w:r>
        <w:rPr>
          <w:rFonts w:ascii="宋体" w:hAnsi="宋体"/>
          <w:color w:val="auto"/>
          <w:sz w:val="21"/>
          <w:szCs w:val="21"/>
          <w:u w:val="single"/>
        </w:rPr>
        <w:t xml:space="preserve">                                </w:t>
      </w:r>
      <w:r>
        <w:rPr>
          <w:rFonts w:ascii="宋体" w:hAnsi="宋体"/>
          <w:color w:val="auto"/>
          <w:sz w:val="21"/>
          <w:szCs w:val="21"/>
        </w:rPr>
        <w:t xml:space="preserve"> </w:t>
      </w:r>
    </w:p>
    <w:p>
      <w:pPr>
        <w:spacing w:line="440" w:lineRule="exact"/>
        <w:rPr>
          <w:rFonts w:hint="eastAsia" w:ascii="宋体" w:hAnsi="宋体"/>
          <w:color w:val="auto"/>
          <w:sz w:val="21"/>
          <w:szCs w:val="21"/>
        </w:rPr>
      </w:pPr>
      <w:r>
        <w:rPr>
          <w:rFonts w:ascii="宋体" w:hAnsi="宋体"/>
          <w:color w:val="auto"/>
          <w:sz w:val="21"/>
          <w:szCs w:val="21"/>
        </w:rPr>
        <w:t>　　承包人（全称）：</w:t>
      </w:r>
      <w:r>
        <w:rPr>
          <w:rFonts w:ascii="宋体" w:hAnsi="宋体"/>
          <w:color w:val="auto"/>
          <w:sz w:val="21"/>
          <w:szCs w:val="21"/>
          <w:u w:val="single"/>
        </w:rPr>
        <w:t xml:space="preserve">                                </w:t>
      </w:r>
      <w:r>
        <w:rPr>
          <w:rFonts w:ascii="宋体" w:hAnsi="宋体"/>
          <w:color w:val="auto"/>
          <w:sz w:val="21"/>
          <w:szCs w:val="21"/>
        </w:rPr>
        <w:t xml:space="preserve"> </w:t>
      </w:r>
    </w:p>
    <w:p>
      <w:pPr>
        <w:spacing w:line="360" w:lineRule="auto"/>
        <w:rPr>
          <w:rFonts w:ascii="宋体" w:hAnsi="宋体"/>
          <w:color w:val="auto"/>
          <w:sz w:val="21"/>
          <w:szCs w:val="21"/>
        </w:rPr>
      </w:pPr>
      <w:r>
        <w:rPr>
          <w:rFonts w:ascii="宋体" w:hAnsi="宋体"/>
          <w:color w:val="auto"/>
          <w:sz w:val="21"/>
          <w:szCs w:val="21"/>
        </w:rPr>
        <w:t>　　发包人和承包人根据《中华人民共和国建筑法》和《建设工程质量管理条例》，经协商一致就</w:t>
      </w:r>
      <w:r>
        <w:rPr>
          <w:rFonts w:ascii="宋体" w:hAnsi="宋体"/>
          <w:color w:val="auto"/>
          <w:sz w:val="21"/>
          <w:szCs w:val="21"/>
          <w:u w:val="single"/>
        </w:rPr>
        <w:t xml:space="preserve">                </w:t>
      </w:r>
      <w:r>
        <w:rPr>
          <w:rFonts w:ascii="宋体" w:hAnsi="宋体"/>
          <w:color w:val="auto"/>
          <w:sz w:val="21"/>
          <w:szCs w:val="21"/>
        </w:rPr>
        <w:t>（工程全称）签订工程质量保修书。</w:t>
      </w:r>
    </w:p>
    <w:p>
      <w:pPr>
        <w:spacing w:line="360" w:lineRule="auto"/>
        <w:outlineLvl w:val="0"/>
        <w:rPr>
          <w:rFonts w:ascii="宋体" w:hAnsi="宋体"/>
          <w:color w:val="auto"/>
          <w:sz w:val="21"/>
          <w:szCs w:val="21"/>
        </w:rPr>
      </w:pPr>
      <w:r>
        <w:rPr>
          <w:rFonts w:ascii="宋体" w:hAnsi="宋体"/>
          <w:color w:val="auto"/>
          <w:sz w:val="21"/>
          <w:szCs w:val="21"/>
        </w:rPr>
        <w:t>　　</w:t>
      </w:r>
      <w:bookmarkStart w:id="494" w:name="_Toc160553149"/>
      <w:r>
        <w:rPr>
          <w:rFonts w:ascii="宋体" w:hAnsi="宋体"/>
          <w:color w:val="auto"/>
          <w:sz w:val="21"/>
          <w:szCs w:val="21"/>
        </w:rPr>
        <w:t>一、工程质量保修范围和内容</w:t>
      </w:r>
      <w:bookmarkEnd w:id="494"/>
    </w:p>
    <w:p>
      <w:pPr>
        <w:spacing w:line="360" w:lineRule="auto"/>
        <w:rPr>
          <w:rFonts w:ascii="宋体" w:hAnsi="宋体"/>
          <w:color w:val="auto"/>
          <w:sz w:val="21"/>
          <w:szCs w:val="21"/>
        </w:rPr>
      </w:pPr>
      <w:r>
        <w:rPr>
          <w:rFonts w:ascii="宋体" w:hAnsi="宋体"/>
          <w:color w:val="auto"/>
          <w:sz w:val="21"/>
          <w:szCs w:val="21"/>
        </w:rPr>
        <w:t>　　承包人在质量保修期内，按照有关法律规定和合同约定，承担工程质量保修责任。</w:t>
      </w:r>
    </w:p>
    <w:p>
      <w:pPr>
        <w:spacing w:line="360" w:lineRule="auto"/>
        <w:rPr>
          <w:rFonts w:ascii="宋体" w:hAnsi="宋体"/>
          <w:color w:val="auto"/>
          <w:sz w:val="21"/>
          <w:szCs w:val="21"/>
        </w:rPr>
      </w:pPr>
      <w:r>
        <w:rPr>
          <w:rFonts w:ascii="宋体" w:hAnsi="宋体"/>
          <w:color w:val="auto"/>
          <w:sz w:val="21"/>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Theme="minorEastAsia" w:hAnsiTheme="minorEastAsia" w:eastAsiaTheme="minorEastAsia"/>
          <w:sz w:val="21"/>
          <w:szCs w:val="21"/>
          <w:highlight w:val="none"/>
          <w:u w:val="single"/>
        </w:rPr>
        <w:t>合同范围内所有工程量</w:t>
      </w:r>
      <w:r>
        <w:rPr>
          <w:rFonts w:ascii="宋体" w:hAnsi="宋体"/>
          <w:color w:val="auto"/>
          <w:sz w:val="21"/>
          <w:szCs w:val="21"/>
        </w:rPr>
        <w:t>。</w:t>
      </w:r>
    </w:p>
    <w:p>
      <w:pPr>
        <w:spacing w:line="360" w:lineRule="auto"/>
        <w:outlineLvl w:val="0"/>
        <w:rPr>
          <w:rFonts w:ascii="宋体" w:hAnsi="宋体"/>
          <w:color w:val="auto"/>
          <w:sz w:val="21"/>
          <w:szCs w:val="21"/>
        </w:rPr>
      </w:pPr>
      <w:r>
        <w:rPr>
          <w:rFonts w:ascii="宋体" w:hAnsi="宋体"/>
          <w:b/>
          <w:color w:val="auto"/>
          <w:sz w:val="21"/>
          <w:szCs w:val="21"/>
        </w:rPr>
        <w:t>　　</w:t>
      </w:r>
      <w:bookmarkStart w:id="495" w:name="_Toc160553150"/>
      <w:r>
        <w:rPr>
          <w:rFonts w:ascii="宋体" w:hAnsi="宋体"/>
          <w:color w:val="auto"/>
          <w:sz w:val="21"/>
          <w:szCs w:val="21"/>
        </w:rPr>
        <w:t>二、质量保修期</w:t>
      </w:r>
      <w:bookmarkEnd w:id="495"/>
    </w:p>
    <w:p>
      <w:pPr>
        <w:spacing w:line="360" w:lineRule="auto"/>
        <w:ind w:firstLine="420" w:firstLineChars="200"/>
        <w:rPr>
          <w:rFonts w:ascii="宋体" w:hAnsi="宋体"/>
          <w:color w:val="auto"/>
          <w:sz w:val="21"/>
          <w:szCs w:val="21"/>
        </w:rPr>
      </w:pPr>
      <w:r>
        <w:rPr>
          <w:rFonts w:ascii="宋体" w:hAnsi="宋体"/>
          <w:color w:val="auto"/>
          <w:sz w:val="21"/>
          <w:szCs w:val="21"/>
        </w:rPr>
        <w:t>根据《建设工程质量管理条例》及有关规定，工程的质量保修期如下：</w:t>
      </w:r>
    </w:p>
    <w:p>
      <w:pPr>
        <w:spacing w:line="360" w:lineRule="auto"/>
        <w:ind w:firstLine="420" w:firstLineChars="200"/>
        <w:rPr>
          <w:rFonts w:ascii="宋体" w:hAnsi="宋体"/>
          <w:color w:val="auto"/>
          <w:sz w:val="21"/>
          <w:szCs w:val="21"/>
        </w:rPr>
      </w:pPr>
      <w:r>
        <w:rPr>
          <w:rFonts w:hint="eastAsia" w:ascii="宋体" w:hAnsi="宋体"/>
          <w:color w:val="auto"/>
          <w:sz w:val="21"/>
          <w:szCs w:val="21"/>
        </w:rPr>
        <w:t>1．地基基础工程和主体结构工程为设计文件规定的工程合理使用年限；</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2．</w:t>
      </w:r>
      <w:r>
        <w:rPr>
          <w:rFonts w:ascii="宋体" w:hAnsi="宋体"/>
          <w:color w:val="auto"/>
          <w:sz w:val="21"/>
          <w:szCs w:val="21"/>
        </w:rPr>
        <w:t>屋面防水工程、有防水要求的卫生间、房间和外墙面的防渗</w:t>
      </w:r>
      <w:r>
        <w:rPr>
          <w:rFonts w:hint="eastAsia" w:ascii="宋体" w:hAnsi="宋体"/>
          <w:color w:val="auto"/>
          <w:sz w:val="21"/>
          <w:szCs w:val="21"/>
        </w:rPr>
        <w:t>为</w:t>
      </w:r>
      <w:r>
        <w:rPr>
          <w:rFonts w:hint="eastAsia" w:ascii="宋体" w:hAnsi="宋体"/>
          <w:color w:val="auto"/>
          <w:sz w:val="21"/>
          <w:szCs w:val="21"/>
          <w:u w:val="single"/>
        </w:rPr>
        <w:t xml:space="preserve"> </w:t>
      </w:r>
      <w:r>
        <w:rPr>
          <w:rFonts w:ascii="宋体" w:hAnsi="宋体"/>
          <w:color w:val="auto"/>
          <w:sz w:val="21"/>
          <w:szCs w:val="21"/>
          <w:u w:val="single"/>
        </w:rPr>
        <w:t>5</w:t>
      </w:r>
      <w:r>
        <w:rPr>
          <w:rFonts w:hint="eastAsia" w:ascii="宋体" w:hAnsi="宋体"/>
          <w:color w:val="auto"/>
          <w:sz w:val="21"/>
          <w:szCs w:val="21"/>
          <w:u w:val="single"/>
        </w:rPr>
        <w:t xml:space="preserve">  </w:t>
      </w:r>
      <w:r>
        <w:rPr>
          <w:rFonts w:ascii="宋体" w:hAnsi="宋体"/>
          <w:color w:val="auto"/>
          <w:sz w:val="21"/>
          <w:szCs w:val="21"/>
        </w:rPr>
        <w:t>年；</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3．</w:t>
      </w:r>
      <w:r>
        <w:rPr>
          <w:rFonts w:ascii="宋体" w:hAnsi="宋体"/>
          <w:color w:val="auto"/>
          <w:sz w:val="21"/>
          <w:szCs w:val="21"/>
        </w:rPr>
        <w:t>装修工程为</w:t>
      </w:r>
      <w:r>
        <w:rPr>
          <w:rFonts w:ascii="宋体" w:hAnsi="宋体"/>
          <w:color w:val="auto"/>
          <w:sz w:val="21"/>
          <w:szCs w:val="21"/>
          <w:u w:val="single"/>
        </w:rPr>
        <w:t xml:space="preserve">  2 </w:t>
      </w:r>
      <w:r>
        <w:rPr>
          <w:rFonts w:ascii="宋体" w:hAnsi="宋体"/>
          <w:color w:val="auto"/>
          <w:sz w:val="21"/>
          <w:szCs w:val="21"/>
        </w:rPr>
        <w:t>年；</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4．</w:t>
      </w:r>
      <w:r>
        <w:rPr>
          <w:rFonts w:ascii="宋体" w:hAnsi="宋体"/>
          <w:color w:val="auto"/>
          <w:sz w:val="21"/>
          <w:szCs w:val="21"/>
        </w:rPr>
        <w:t>电气管线、给排水管道、设备安装工程为</w:t>
      </w:r>
      <w:r>
        <w:rPr>
          <w:rFonts w:ascii="宋体" w:hAnsi="宋体"/>
          <w:color w:val="auto"/>
          <w:sz w:val="21"/>
          <w:szCs w:val="21"/>
          <w:u w:val="single"/>
        </w:rPr>
        <w:t xml:space="preserve">  2  </w:t>
      </w:r>
      <w:r>
        <w:rPr>
          <w:rFonts w:ascii="宋体" w:hAnsi="宋体"/>
          <w:color w:val="auto"/>
          <w:sz w:val="21"/>
          <w:szCs w:val="21"/>
        </w:rPr>
        <w:t>年；</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5．</w:t>
      </w:r>
      <w:r>
        <w:rPr>
          <w:rFonts w:ascii="宋体" w:hAnsi="宋体"/>
          <w:color w:val="auto"/>
          <w:sz w:val="21"/>
          <w:szCs w:val="21"/>
        </w:rPr>
        <w:t>供热与供冷系统为</w:t>
      </w:r>
      <w:r>
        <w:rPr>
          <w:rFonts w:ascii="宋体" w:hAnsi="宋体"/>
          <w:color w:val="auto"/>
          <w:sz w:val="21"/>
          <w:szCs w:val="21"/>
          <w:u w:val="single"/>
        </w:rPr>
        <w:t xml:space="preserve">   2 </w:t>
      </w:r>
      <w:r>
        <w:rPr>
          <w:rFonts w:ascii="宋体" w:hAnsi="宋体"/>
          <w:color w:val="auto"/>
          <w:sz w:val="21"/>
          <w:szCs w:val="21"/>
        </w:rPr>
        <w:t>个采暖期、供冷期；</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6．</w:t>
      </w:r>
      <w:r>
        <w:rPr>
          <w:rFonts w:ascii="宋体" w:hAnsi="宋体"/>
          <w:color w:val="auto"/>
          <w:sz w:val="21"/>
          <w:szCs w:val="21"/>
        </w:rPr>
        <w:t>住宅小区内的给排水设施、道路等配套工程为</w:t>
      </w:r>
      <w:r>
        <w:rPr>
          <w:rFonts w:ascii="宋体" w:hAnsi="宋体"/>
          <w:color w:val="auto"/>
          <w:sz w:val="21"/>
          <w:szCs w:val="21"/>
          <w:u w:val="single"/>
        </w:rPr>
        <w:t xml:space="preserve">  2  </w:t>
      </w:r>
      <w:r>
        <w:rPr>
          <w:rFonts w:ascii="宋体" w:hAnsi="宋体"/>
          <w:color w:val="auto"/>
          <w:sz w:val="21"/>
          <w:szCs w:val="21"/>
        </w:rPr>
        <w:t>年；</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7．</w:t>
      </w:r>
      <w:r>
        <w:rPr>
          <w:rFonts w:ascii="宋体" w:hAnsi="宋体"/>
          <w:color w:val="auto"/>
          <w:sz w:val="21"/>
          <w:szCs w:val="21"/>
        </w:rPr>
        <w:t>其他项目保修期限约定如下：</w:t>
      </w:r>
      <w:r>
        <w:rPr>
          <w:rFonts w:hint="eastAsia" w:ascii="宋体" w:hAnsi="宋体"/>
          <w:color w:val="auto"/>
          <w:sz w:val="21"/>
          <w:szCs w:val="21"/>
        </w:rPr>
        <w:t xml:space="preserve">保修期为工程竣工验收合格之日起2年，承包人在接到发包人(或监理人)的维修通知后，无特殊条件24小时内必须到场维修  </w:t>
      </w:r>
      <w:r>
        <w:rPr>
          <w:rFonts w:ascii="宋体" w:hAnsi="宋体"/>
          <w:color w:val="auto"/>
          <w:sz w:val="21"/>
          <w:szCs w:val="21"/>
        </w:rPr>
        <w:t xml:space="preserve"> </w:t>
      </w:r>
      <w:r>
        <w:rPr>
          <w:rFonts w:hint="eastAsia" w:ascii="宋体" w:hAnsi="宋体"/>
          <w:color w:val="auto"/>
          <w:sz w:val="21"/>
          <w:szCs w:val="21"/>
        </w:rPr>
        <w:t xml:space="preserve"> </w:t>
      </w:r>
      <w:r>
        <w:rPr>
          <w:rFonts w:ascii="宋体" w:hAnsi="宋体"/>
          <w:color w:val="auto"/>
          <w:sz w:val="21"/>
          <w:szCs w:val="21"/>
        </w:rPr>
        <w:t xml:space="preserve">   。</w:t>
      </w:r>
    </w:p>
    <w:p>
      <w:pPr>
        <w:spacing w:line="360" w:lineRule="auto"/>
        <w:ind w:firstLine="420" w:firstLineChars="200"/>
        <w:rPr>
          <w:rFonts w:ascii="宋体" w:hAnsi="宋体"/>
          <w:color w:val="auto"/>
          <w:sz w:val="21"/>
          <w:szCs w:val="21"/>
        </w:rPr>
      </w:pPr>
      <w:r>
        <w:rPr>
          <w:rFonts w:ascii="宋体" w:hAnsi="宋体"/>
          <w:color w:val="auto"/>
          <w:sz w:val="21"/>
          <w:szCs w:val="21"/>
        </w:rPr>
        <w:t>质量保修期自工程竣工验收合格之日起计算。</w:t>
      </w:r>
    </w:p>
    <w:p>
      <w:pPr>
        <w:spacing w:line="360" w:lineRule="auto"/>
        <w:ind w:firstLine="420" w:firstLineChars="200"/>
        <w:outlineLvl w:val="0"/>
        <w:rPr>
          <w:rFonts w:ascii="宋体" w:hAnsi="宋体"/>
          <w:color w:val="auto"/>
          <w:sz w:val="21"/>
          <w:szCs w:val="21"/>
        </w:rPr>
      </w:pPr>
      <w:bookmarkStart w:id="496" w:name="_Toc160553151"/>
      <w:r>
        <w:rPr>
          <w:rFonts w:ascii="宋体" w:hAnsi="宋体"/>
          <w:color w:val="auto"/>
          <w:sz w:val="21"/>
          <w:szCs w:val="21"/>
        </w:rPr>
        <w:t>三、缺陷责任期</w:t>
      </w:r>
      <w:bookmarkEnd w:id="496"/>
    </w:p>
    <w:p>
      <w:pPr>
        <w:spacing w:line="360" w:lineRule="auto"/>
        <w:ind w:firstLine="420" w:firstLineChars="200"/>
        <w:rPr>
          <w:rFonts w:ascii="宋体" w:hAnsi="宋体"/>
          <w:color w:val="auto"/>
          <w:sz w:val="21"/>
          <w:szCs w:val="21"/>
        </w:rPr>
      </w:pPr>
      <w:r>
        <w:rPr>
          <w:rFonts w:ascii="宋体" w:hAnsi="宋体"/>
          <w:color w:val="auto"/>
          <w:sz w:val="21"/>
          <w:szCs w:val="21"/>
        </w:rPr>
        <w:t>工程缺陷责任期为</w:t>
      </w:r>
      <w:r>
        <w:rPr>
          <w:rFonts w:ascii="宋体" w:hAnsi="宋体"/>
          <w:color w:val="auto"/>
          <w:sz w:val="21"/>
          <w:szCs w:val="21"/>
          <w:u w:val="single"/>
        </w:rPr>
        <w:t xml:space="preserve">     </w:t>
      </w:r>
      <w:r>
        <w:rPr>
          <w:rFonts w:hint="eastAsia" w:ascii="宋体" w:hAnsi="宋体"/>
          <w:color w:val="auto"/>
          <w:sz w:val="21"/>
          <w:szCs w:val="21"/>
          <w:u w:val="single"/>
        </w:rPr>
        <w:t>24</w:t>
      </w:r>
      <w:r>
        <w:rPr>
          <w:rFonts w:ascii="宋体" w:hAnsi="宋体"/>
          <w:color w:val="auto"/>
          <w:sz w:val="21"/>
          <w:szCs w:val="21"/>
          <w:u w:val="single"/>
        </w:rPr>
        <w:t xml:space="preserve">    </w:t>
      </w:r>
      <w:r>
        <w:rPr>
          <w:rFonts w:ascii="宋体" w:hAnsi="宋体"/>
          <w:color w:val="auto"/>
          <w:sz w:val="21"/>
          <w:szCs w:val="21"/>
        </w:rPr>
        <w:t>个月，缺陷责任期自工程</w:t>
      </w:r>
      <w:r>
        <w:rPr>
          <w:rFonts w:hint="eastAsia" w:ascii="宋体" w:hAnsi="宋体"/>
          <w:color w:val="auto"/>
          <w:sz w:val="21"/>
          <w:szCs w:val="21"/>
        </w:rPr>
        <w:t>通过竣工验收</w:t>
      </w:r>
      <w:r>
        <w:rPr>
          <w:rFonts w:ascii="宋体" w:hAnsi="宋体"/>
          <w:color w:val="auto"/>
          <w:sz w:val="21"/>
          <w:szCs w:val="21"/>
        </w:rPr>
        <w:t>之日起计算。单位工程先于全部工程进行验收，单位工程缺陷责任期自单位工程验收合格之日起算。</w:t>
      </w:r>
    </w:p>
    <w:p>
      <w:pPr>
        <w:spacing w:line="360" w:lineRule="auto"/>
        <w:ind w:firstLine="420" w:firstLineChars="200"/>
        <w:rPr>
          <w:rFonts w:ascii="宋体" w:hAnsi="宋体"/>
          <w:color w:val="auto"/>
          <w:sz w:val="21"/>
          <w:szCs w:val="21"/>
        </w:rPr>
      </w:pPr>
      <w:r>
        <w:rPr>
          <w:rFonts w:ascii="宋体" w:hAnsi="宋体"/>
          <w:color w:val="auto"/>
          <w:sz w:val="21"/>
          <w:szCs w:val="21"/>
        </w:rPr>
        <w:t>缺陷责任期终止后，发包人应退还剩余的质量保证金。</w:t>
      </w:r>
    </w:p>
    <w:p>
      <w:pPr>
        <w:spacing w:line="360" w:lineRule="auto"/>
        <w:outlineLvl w:val="0"/>
        <w:rPr>
          <w:rFonts w:ascii="宋体" w:hAnsi="宋体"/>
          <w:color w:val="auto"/>
          <w:sz w:val="21"/>
          <w:szCs w:val="21"/>
        </w:rPr>
      </w:pPr>
      <w:r>
        <w:rPr>
          <w:rFonts w:ascii="宋体" w:hAnsi="宋体"/>
          <w:color w:val="auto"/>
          <w:sz w:val="21"/>
          <w:szCs w:val="21"/>
        </w:rPr>
        <w:t xml:space="preserve">    </w:t>
      </w:r>
      <w:bookmarkStart w:id="497" w:name="_Toc160553152"/>
      <w:r>
        <w:rPr>
          <w:rFonts w:ascii="宋体" w:hAnsi="宋体"/>
          <w:color w:val="auto"/>
          <w:sz w:val="21"/>
          <w:szCs w:val="21"/>
        </w:rPr>
        <w:t>四、质量保修责任</w:t>
      </w:r>
      <w:bookmarkEnd w:id="497"/>
    </w:p>
    <w:p>
      <w:pPr>
        <w:spacing w:line="360" w:lineRule="auto"/>
        <w:ind w:left="120" w:leftChars="50" w:firstLine="430" w:firstLineChars="205"/>
        <w:rPr>
          <w:rFonts w:ascii="宋体" w:hAnsi="宋体"/>
          <w:color w:val="auto"/>
          <w:sz w:val="21"/>
          <w:szCs w:val="21"/>
        </w:rPr>
      </w:pPr>
      <w:r>
        <w:rPr>
          <w:rFonts w:hint="eastAsia" w:ascii="宋体" w:hAnsi="宋体"/>
          <w:color w:val="auto"/>
          <w:sz w:val="21"/>
          <w:szCs w:val="21"/>
        </w:rPr>
        <w:t>1．</w:t>
      </w:r>
      <w:r>
        <w:rPr>
          <w:rFonts w:ascii="宋体" w:hAnsi="宋体"/>
          <w:color w:val="auto"/>
          <w:sz w:val="21"/>
          <w:szCs w:val="21"/>
        </w:rPr>
        <w:t>属于保修范围、内容的项目，承包人应当在接到保修通知之日起7天内派人保修。承包人不在约定期限内派人保修的，发包人可以委托他人修理。</w:t>
      </w:r>
    </w:p>
    <w:p>
      <w:pPr>
        <w:spacing w:line="360" w:lineRule="auto"/>
        <w:ind w:left="120" w:leftChars="50" w:firstLine="430" w:firstLineChars="205"/>
        <w:rPr>
          <w:rFonts w:ascii="宋体" w:hAnsi="宋体"/>
          <w:color w:val="auto"/>
          <w:sz w:val="21"/>
          <w:szCs w:val="21"/>
        </w:rPr>
      </w:pPr>
      <w:r>
        <w:rPr>
          <w:rFonts w:hint="eastAsia" w:ascii="宋体" w:hAnsi="宋体"/>
          <w:color w:val="auto"/>
          <w:sz w:val="21"/>
          <w:szCs w:val="21"/>
        </w:rPr>
        <w:t>2．</w:t>
      </w:r>
      <w:r>
        <w:rPr>
          <w:rFonts w:ascii="宋体" w:hAnsi="宋体"/>
          <w:color w:val="auto"/>
          <w:sz w:val="21"/>
          <w:szCs w:val="21"/>
        </w:rPr>
        <w:t>发生紧急事故需抢修的，承包人在接到事故通知后，应当立即到达事故现场抢修。</w:t>
      </w:r>
    </w:p>
    <w:p>
      <w:pPr>
        <w:spacing w:line="360" w:lineRule="auto"/>
        <w:ind w:left="120" w:leftChars="50" w:firstLine="430" w:firstLineChars="205"/>
        <w:rPr>
          <w:rFonts w:ascii="宋体" w:hAnsi="宋体"/>
          <w:color w:val="auto"/>
          <w:sz w:val="21"/>
          <w:szCs w:val="21"/>
        </w:rPr>
      </w:pPr>
      <w:r>
        <w:rPr>
          <w:rFonts w:hint="eastAsia" w:ascii="宋体" w:hAnsi="宋体"/>
          <w:color w:val="auto"/>
          <w:sz w:val="21"/>
          <w:szCs w:val="21"/>
        </w:rPr>
        <w:t>3．</w:t>
      </w:r>
      <w:r>
        <w:rPr>
          <w:rFonts w:ascii="宋体" w:hAnsi="宋体"/>
          <w:color w:val="auto"/>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80" w:leftChars="200" w:firstLine="105" w:firstLineChars="50"/>
        <w:rPr>
          <w:rFonts w:ascii="宋体" w:hAnsi="宋体"/>
          <w:color w:val="auto"/>
          <w:sz w:val="21"/>
          <w:szCs w:val="21"/>
        </w:rPr>
      </w:pPr>
      <w:r>
        <w:rPr>
          <w:rFonts w:hint="eastAsia" w:ascii="宋体" w:hAnsi="宋体"/>
          <w:color w:val="auto"/>
          <w:sz w:val="21"/>
          <w:szCs w:val="21"/>
        </w:rPr>
        <w:t>4．</w:t>
      </w:r>
      <w:r>
        <w:rPr>
          <w:rFonts w:ascii="宋体" w:hAnsi="宋体"/>
          <w:color w:val="auto"/>
          <w:sz w:val="21"/>
          <w:szCs w:val="21"/>
        </w:rPr>
        <w:t>质量保修完成后，由发包人组织验收。</w:t>
      </w:r>
    </w:p>
    <w:p>
      <w:pPr>
        <w:spacing w:line="360" w:lineRule="auto"/>
        <w:outlineLvl w:val="0"/>
        <w:rPr>
          <w:rFonts w:ascii="宋体" w:hAnsi="宋体"/>
          <w:color w:val="auto"/>
          <w:sz w:val="21"/>
          <w:szCs w:val="21"/>
        </w:rPr>
      </w:pPr>
      <w:r>
        <w:rPr>
          <w:rFonts w:ascii="宋体" w:hAnsi="宋体"/>
          <w:color w:val="auto"/>
          <w:sz w:val="21"/>
          <w:szCs w:val="21"/>
        </w:rPr>
        <w:t>　　</w:t>
      </w:r>
      <w:bookmarkStart w:id="498" w:name="_Toc160553153"/>
      <w:r>
        <w:rPr>
          <w:rFonts w:ascii="宋体" w:hAnsi="宋体"/>
          <w:color w:val="auto"/>
          <w:sz w:val="21"/>
          <w:szCs w:val="21"/>
        </w:rPr>
        <w:t>五、保修费用</w:t>
      </w:r>
      <w:bookmarkEnd w:id="498"/>
    </w:p>
    <w:p>
      <w:pPr>
        <w:spacing w:line="360" w:lineRule="auto"/>
        <w:rPr>
          <w:rFonts w:ascii="宋体" w:hAnsi="宋体"/>
          <w:color w:val="auto"/>
          <w:sz w:val="21"/>
          <w:szCs w:val="21"/>
        </w:rPr>
      </w:pPr>
      <w:r>
        <w:rPr>
          <w:rFonts w:ascii="宋体" w:hAnsi="宋体"/>
          <w:color w:val="auto"/>
          <w:sz w:val="21"/>
          <w:szCs w:val="21"/>
        </w:rPr>
        <w:t>　　保修费用由造成质量缺陷的责任方承担。</w:t>
      </w:r>
    </w:p>
    <w:p>
      <w:pPr>
        <w:numPr>
          <w:ilvl w:val="0"/>
          <w:numId w:val="3"/>
        </w:numPr>
        <w:spacing w:line="360" w:lineRule="auto"/>
        <w:jc w:val="left"/>
        <w:rPr>
          <w:rFonts w:hint="eastAsia" w:ascii="宋体" w:hAnsi="宋体"/>
          <w:color w:val="auto"/>
          <w:sz w:val="21"/>
          <w:szCs w:val="21"/>
          <w:u w:val="single"/>
        </w:rPr>
      </w:pPr>
      <w:r>
        <w:rPr>
          <w:rFonts w:ascii="宋体" w:hAnsi="宋体"/>
          <w:color w:val="auto"/>
          <w:sz w:val="21"/>
          <w:szCs w:val="21"/>
        </w:rPr>
        <w:t>双方约定的其他工程质量保修事项：</w:t>
      </w:r>
      <w:r>
        <w:rPr>
          <w:rFonts w:ascii="宋体" w:hAnsi="宋体"/>
          <w:color w:val="auto"/>
          <w:sz w:val="21"/>
          <w:szCs w:val="21"/>
          <w:u w:val="single"/>
        </w:rPr>
        <w:t xml:space="preserve"> </w:t>
      </w:r>
      <w:r>
        <w:rPr>
          <w:rFonts w:hint="eastAsia" w:ascii="宋体" w:hAnsi="宋体"/>
          <w:color w:val="auto"/>
          <w:sz w:val="21"/>
          <w:szCs w:val="21"/>
          <w:u w:val="single"/>
        </w:rPr>
        <w:t>工程质量保证金按结算造价的1.5%计算(发包人有权扣除由于承包人不按时承担保修责任而另行委托维修的费用)，缺陷责任期满后付清(不计息)</w:t>
      </w:r>
      <w:r>
        <w:rPr>
          <w:rFonts w:ascii="宋体" w:hAnsi="宋体"/>
          <w:color w:val="auto"/>
          <w:sz w:val="21"/>
          <w:szCs w:val="21"/>
          <w:u w:val="single"/>
        </w:rPr>
        <w:t xml:space="preserve">         </w:t>
      </w:r>
      <w:r>
        <w:rPr>
          <w:rFonts w:hint="eastAsia" w:ascii="宋体" w:hAnsi="宋体"/>
          <w:color w:val="auto"/>
          <w:sz w:val="21"/>
          <w:szCs w:val="21"/>
          <w:u w:val="single"/>
        </w:rPr>
        <w:t xml:space="preserve">  </w:t>
      </w:r>
    </w:p>
    <w:p>
      <w:pPr>
        <w:numPr>
          <w:ilvl w:val="0"/>
          <w:numId w:val="3"/>
        </w:numPr>
        <w:spacing w:line="360" w:lineRule="auto"/>
        <w:jc w:val="left"/>
        <w:rPr>
          <w:rFonts w:ascii="宋体" w:hAnsi="宋体"/>
          <w:color w:val="auto"/>
          <w:sz w:val="21"/>
          <w:szCs w:val="21"/>
        </w:rPr>
      </w:pPr>
      <w:r>
        <w:rPr>
          <w:rFonts w:ascii="宋体" w:hAnsi="宋体"/>
          <w:color w:val="auto"/>
          <w:sz w:val="21"/>
          <w:szCs w:val="21"/>
          <w:u w:val="single"/>
        </w:rPr>
        <w:t xml:space="preserve">   </w:t>
      </w:r>
      <w:r>
        <w:rPr>
          <w:rFonts w:ascii="宋体" w:hAnsi="宋体"/>
          <w:color w:val="auto"/>
          <w:sz w:val="21"/>
          <w:szCs w:val="21"/>
        </w:rPr>
        <w:t>。</w:t>
      </w:r>
    </w:p>
    <w:p>
      <w:pPr>
        <w:spacing w:line="360" w:lineRule="auto"/>
        <w:ind w:firstLine="399" w:firstLineChars="190"/>
        <w:rPr>
          <w:rFonts w:ascii="宋体" w:hAnsi="宋体"/>
          <w:color w:val="auto"/>
          <w:sz w:val="21"/>
          <w:szCs w:val="21"/>
        </w:rPr>
      </w:pPr>
      <w:r>
        <w:rPr>
          <w:rFonts w:ascii="宋体" w:hAnsi="宋体"/>
          <w:color w:val="auto"/>
          <w:sz w:val="21"/>
          <w:szCs w:val="21"/>
        </w:rPr>
        <w:t>工程质量保修书由发包人、承包人在工程竣工验收前共同签署，作为施工合同附件，其有效期限至保修期满。</w:t>
      </w:r>
    </w:p>
    <w:p>
      <w:pPr>
        <w:spacing w:line="360" w:lineRule="auto"/>
        <w:ind w:firstLine="420"/>
        <w:rPr>
          <w:rFonts w:ascii="宋体" w:hAnsi="宋体"/>
          <w:color w:val="auto"/>
          <w:sz w:val="21"/>
          <w:szCs w:val="21"/>
        </w:rPr>
      </w:pPr>
    </w:p>
    <w:p>
      <w:pPr>
        <w:spacing w:line="360" w:lineRule="auto"/>
        <w:rPr>
          <w:rFonts w:ascii="宋体" w:hAnsi="宋体"/>
          <w:color w:val="auto"/>
          <w:sz w:val="21"/>
          <w:szCs w:val="21"/>
        </w:rPr>
      </w:pPr>
      <w:r>
        <w:rPr>
          <w:rFonts w:ascii="宋体" w:hAnsi="宋体"/>
          <w:color w:val="auto"/>
          <w:sz w:val="21"/>
          <w:szCs w:val="21"/>
        </w:rPr>
        <w:t>发包人(公章)：</w:t>
      </w:r>
      <w:r>
        <w:rPr>
          <w:rFonts w:ascii="宋体" w:hAnsi="宋体"/>
          <w:color w:val="auto"/>
          <w:sz w:val="21"/>
          <w:szCs w:val="21"/>
          <w:u w:val="single"/>
        </w:rPr>
        <w:t xml:space="preserve">        </w:t>
      </w:r>
      <w:r>
        <w:rPr>
          <w:rFonts w:ascii="宋体" w:hAnsi="宋体"/>
          <w:color w:val="auto"/>
          <w:sz w:val="21"/>
          <w:szCs w:val="21"/>
        </w:rPr>
        <w:t xml:space="preserve"> 承包人(公章)：</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地  址：</w:t>
      </w:r>
      <w:r>
        <w:rPr>
          <w:rFonts w:ascii="宋体" w:hAnsi="宋体"/>
          <w:color w:val="auto"/>
          <w:sz w:val="21"/>
          <w:szCs w:val="21"/>
          <w:u w:val="single"/>
        </w:rPr>
        <w:t xml:space="preserve">     </w:t>
      </w:r>
      <w:r>
        <w:rPr>
          <w:rFonts w:hint="eastAsia" w:ascii="宋体" w:hAnsi="宋体"/>
          <w:color w:val="auto"/>
          <w:sz w:val="21"/>
          <w:szCs w:val="21"/>
        </w:rPr>
        <w:t xml:space="preserve"> </w:t>
      </w:r>
      <w:r>
        <w:rPr>
          <w:rFonts w:ascii="宋体" w:hAnsi="宋体"/>
          <w:color w:val="auto"/>
          <w:sz w:val="21"/>
          <w:szCs w:val="21"/>
        </w:rPr>
        <w:t>地  址：</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法定代表人(签字)：</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 xml:space="preserve"> 法定代表人(签字)：</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委托代理人(签字)：</w:t>
      </w:r>
      <w:r>
        <w:rPr>
          <w:rFonts w:ascii="宋体" w:hAnsi="宋体"/>
          <w:color w:val="auto"/>
          <w:sz w:val="21"/>
          <w:szCs w:val="21"/>
          <w:u w:val="single"/>
        </w:rPr>
        <w:t xml:space="preserve">      </w:t>
      </w:r>
      <w:r>
        <w:rPr>
          <w:rFonts w:ascii="宋体" w:hAnsi="宋体"/>
          <w:color w:val="auto"/>
          <w:sz w:val="21"/>
          <w:szCs w:val="21"/>
        </w:rPr>
        <w:t xml:space="preserve"> 委托代理人(签字)：</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电  话：</w:t>
      </w:r>
      <w:r>
        <w:rPr>
          <w:rFonts w:ascii="宋体" w:hAnsi="宋体"/>
          <w:color w:val="auto"/>
          <w:sz w:val="21"/>
          <w:szCs w:val="21"/>
          <w:u w:val="single"/>
        </w:rPr>
        <w:t xml:space="preserve">   </w:t>
      </w:r>
      <w:r>
        <w:rPr>
          <w:rFonts w:ascii="宋体" w:hAnsi="宋体"/>
          <w:color w:val="auto"/>
          <w:sz w:val="21"/>
          <w:szCs w:val="21"/>
        </w:rPr>
        <w:t xml:space="preserve"> 电  话：</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传  真：</w:t>
      </w:r>
      <w:r>
        <w:rPr>
          <w:rFonts w:ascii="宋体" w:hAnsi="宋体"/>
          <w:color w:val="auto"/>
          <w:sz w:val="21"/>
          <w:szCs w:val="21"/>
          <w:u w:val="single"/>
        </w:rPr>
        <w:t xml:space="preserve">   </w:t>
      </w:r>
      <w:r>
        <w:rPr>
          <w:rFonts w:ascii="宋体" w:hAnsi="宋体"/>
          <w:color w:val="auto"/>
          <w:sz w:val="21"/>
          <w:szCs w:val="21"/>
        </w:rPr>
        <w:t xml:space="preserve"> 传  真：</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开户银行：</w:t>
      </w:r>
      <w:r>
        <w:rPr>
          <w:rFonts w:ascii="宋体" w:hAnsi="宋体"/>
          <w:color w:val="auto"/>
          <w:sz w:val="21"/>
          <w:szCs w:val="21"/>
          <w:u w:val="single"/>
        </w:rPr>
        <w:t xml:space="preserve">   </w:t>
      </w:r>
      <w:r>
        <w:rPr>
          <w:rFonts w:ascii="宋体" w:hAnsi="宋体"/>
          <w:color w:val="auto"/>
          <w:sz w:val="21"/>
          <w:szCs w:val="21"/>
        </w:rPr>
        <w:t xml:space="preserve"> 开户银行：</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账  号：</w:t>
      </w:r>
      <w:r>
        <w:rPr>
          <w:rFonts w:ascii="宋体" w:hAnsi="宋体"/>
          <w:color w:val="auto"/>
          <w:sz w:val="21"/>
          <w:szCs w:val="21"/>
          <w:u w:val="single"/>
        </w:rPr>
        <w:t xml:space="preserve">       </w:t>
      </w:r>
      <w:r>
        <w:rPr>
          <w:rFonts w:hint="eastAsia" w:ascii="宋体" w:hAnsi="宋体"/>
          <w:color w:val="auto"/>
          <w:sz w:val="21"/>
          <w:szCs w:val="21"/>
        </w:rPr>
        <w:t xml:space="preserve">  </w:t>
      </w:r>
      <w:r>
        <w:rPr>
          <w:rFonts w:ascii="宋体" w:hAnsi="宋体"/>
          <w:color w:val="auto"/>
          <w:sz w:val="21"/>
          <w:szCs w:val="21"/>
        </w:rPr>
        <w:t>账</w:t>
      </w:r>
      <w:r>
        <w:rPr>
          <w:rFonts w:hint="eastAsia" w:ascii="宋体" w:hAnsi="宋体"/>
          <w:color w:val="auto"/>
          <w:sz w:val="21"/>
          <w:szCs w:val="21"/>
        </w:rPr>
        <w:t xml:space="preserve"> </w:t>
      </w:r>
      <w:r>
        <w:rPr>
          <w:rFonts w:ascii="宋体" w:hAnsi="宋体"/>
          <w:color w:val="auto"/>
          <w:sz w:val="21"/>
          <w:szCs w:val="21"/>
        </w:rPr>
        <w:t xml:space="preserve"> 号：</w:t>
      </w:r>
      <w:r>
        <w:rPr>
          <w:rFonts w:ascii="宋体" w:hAnsi="宋体"/>
          <w:color w:val="auto"/>
          <w:sz w:val="21"/>
          <w:szCs w:val="21"/>
          <w:u w:val="single"/>
        </w:rPr>
        <w:t></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邮政编码：</w:t>
      </w:r>
      <w:r>
        <w:rPr>
          <w:rFonts w:ascii="宋体" w:hAnsi="宋体"/>
          <w:color w:val="auto"/>
          <w:sz w:val="21"/>
          <w:szCs w:val="21"/>
          <w:u w:val="single"/>
        </w:rPr>
        <w:t xml:space="preserve">     </w:t>
      </w:r>
      <w:r>
        <w:rPr>
          <w:rFonts w:ascii="宋体" w:hAnsi="宋体"/>
          <w:color w:val="auto"/>
          <w:sz w:val="21"/>
          <w:szCs w:val="21"/>
        </w:rPr>
        <w:t xml:space="preserve"> 邮政编码：</w:t>
      </w:r>
      <w:r>
        <w:rPr>
          <w:rFonts w:ascii="宋体" w:hAnsi="宋体"/>
          <w:color w:val="auto"/>
          <w:sz w:val="21"/>
          <w:szCs w:val="21"/>
          <w:u w:val="single"/>
        </w:rPr>
        <w:t xml:space="preserve">   </w:t>
      </w:r>
    </w:p>
    <w:p>
      <w:pPr>
        <w:spacing w:line="360" w:lineRule="auto"/>
        <w:rPr>
          <w:rFonts w:ascii="宋体" w:hAnsi="宋体"/>
          <w:color w:val="auto"/>
          <w:sz w:val="24"/>
          <w:szCs w:val="24"/>
        </w:rPr>
      </w:pPr>
      <w:r>
        <w:rPr>
          <w:rFonts w:ascii="宋体" w:hAnsi="宋体"/>
          <w:color w:val="auto"/>
          <w:sz w:val="24"/>
          <w:szCs w:val="24"/>
        </w:rPr>
        <w:br w:type="page"/>
      </w:r>
      <w:r>
        <w:rPr>
          <w:rFonts w:ascii="宋体" w:hAnsi="宋体"/>
          <w:color w:val="auto"/>
          <w:sz w:val="30"/>
          <w:szCs w:val="30"/>
        </w:rPr>
        <w:t>附件4：</w:t>
      </w:r>
    </w:p>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主要建设工程文件目录</w:t>
      </w:r>
    </w:p>
    <w:tbl>
      <w:tblPr>
        <w:tblStyle w:val="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文件名称</w:t>
            </w:r>
          </w:p>
        </w:tc>
        <w:tc>
          <w:tcPr>
            <w:tcW w:w="1276"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套数</w:t>
            </w:r>
          </w:p>
        </w:tc>
        <w:tc>
          <w:tcPr>
            <w:tcW w:w="145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费用</w:t>
            </w:r>
            <w:r>
              <w:rPr>
                <w:rFonts w:hint="eastAsia" w:ascii="宋体" w:hAnsi="宋体"/>
                <w:color w:val="auto"/>
                <w:kern w:val="2"/>
                <w:sz w:val="28"/>
                <w:szCs w:val="30"/>
              </w:rPr>
              <w:t>（元）</w:t>
            </w:r>
          </w:p>
        </w:tc>
        <w:tc>
          <w:tcPr>
            <w:tcW w:w="1243"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质量</w:t>
            </w:r>
          </w:p>
        </w:tc>
        <w:tc>
          <w:tcPr>
            <w:tcW w:w="1450" w:type="dxa"/>
            <w:tcBorders>
              <w:top w:val="single" w:color="auto" w:sz="12" w:space="0"/>
              <w:bottom w:val="double" w:color="auto" w:sz="6" w:space="0"/>
            </w:tcBorders>
            <w:noWrap w:val="0"/>
            <w:vAlign w:val="top"/>
          </w:tcPr>
          <w:p>
            <w:pPr>
              <w:spacing w:line="440" w:lineRule="exact"/>
              <w:jc w:val="center"/>
              <w:rPr>
                <w:rFonts w:ascii="宋体" w:hAnsi="宋体"/>
                <w:color w:val="auto"/>
                <w:sz w:val="28"/>
                <w:szCs w:val="30"/>
              </w:rPr>
            </w:pPr>
            <w:r>
              <w:rPr>
                <w:rFonts w:ascii="宋体" w:hAnsi="宋体"/>
                <w:color w:val="auto"/>
                <w:sz w:val="28"/>
                <w:szCs w:val="30"/>
              </w:rPr>
              <w:t>移交时间</w:t>
            </w:r>
          </w:p>
        </w:tc>
        <w:tc>
          <w:tcPr>
            <w:tcW w:w="1667" w:type="dxa"/>
            <w:tcBorders>
              <w:top w:val="single" w:color="auto" w:sz="12" w:space="0"/>
              <w:bottom w:val="double" w:color="auto" w:sz="6" w:space="0"/>
            </w:tcBorders>
            <w:noWrap w:val="0"/>
            <w:vAlign w:val="top"/>
          </w:tcPr>
          <w:p>
            <w:pPr>
              <w:spacing w:line="440" w:lineRule="exact"/>
              <w:jc w:val="center"/>
              <w:rPr>
                <w:rFonts w:ascii="宋体" w:hAnsi="宋体"/>
                <w:color w:val="auto"/>
                <w:sz w:val="28"/>
                <w:szCs w:val="30"/>
              </w:rPr>
            </w:pPr>
            <w:r>
              <w:rPr>
                <w:rFonts w:ascii="宋体" w:hAnsi="宋体"/>
                <w:color w:val="auto"/>
                <w:sz w:val="28"/>
                <w:szCs w:val="30"/>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276"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45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243"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45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667"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276"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45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243"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45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667"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ascii="宋体" w:hAnsi="宋体"/>
                <w:color w:val="auto"/>
                <w:sz w:val="30"/>
                <w:szCs w:val="30"/>
              </w:rPr>
            </w:pPr>
          </w:p>
        </w:tc>
        <w:tc>
          <w:tcPr>
            <w:tcW w:w="1276" w:type="dxa"/>
            <w:noWrap w:val="0"/>
            <w:vAlign w:val="top"/>
          </w:tcPr>
          <w:p>
            <w:pPr>
              <w:rPr>
                <w:rFonts w:ascii="宋体" w:hAnsi="宋体"/>
                <w:color w:val="auto"/>
                <w:sz w:val="30"/>
                <w:szCs w:val="30"/>
              </w:rPr>
            </w:pPr>
          </w:p>
        </w:tc>
        <w:tc>
          <w:tcPr>
            <w:tcW w:w="1450" w:type="dxa"/>
            <w:noWrap w:val="0"/>
            <w:vAlign w:val="top"/>
          </w:tcPr>
          <w:p>
            <w:pPr>
              <w:rPr>
                <w:rFonts w:ascii="宋体" w:hAnsi="宋体"/>
                <w:color w:val="auto"/>
                <w:sz w:val="30"/>
                <w:szCs w:val="30"/>
              </w:rPr>
            </w:pPr>
          </w:p>
        </w:tc>
        <w:tc>
          <w:tcPr>
            <w:tcW w:w="1243" w:type="dxa"/>
            <w:noWrap w:val="0"/>
            <w:vAlign w:val="top"/>
          </w:tcPr>
          <w:p>
            <w:pPr>
              <w:rPr>
                <w:rFonts w:ascii="宋体" w:hAnsi="宋体"/>
                <w:color w:val="auto"/>
                <w:sz w:val="30"/>
                <w:szCs w:val="30"/>
              </w:rPr>
            </w:pPr>
          </w:p>
        </w:tc>
        <w:tc>
          <w:tcPr>
            <w:tcW w:w="1450" w:type="dxa"/>
            <w:noWrap w:val="0"/>
            <w:vAlign w:val="top"/>
          </w:tcPr>
          <w:p>
            <w:pPr>
              <w:rPr>
                <w:rFonts w:ascii="宋体" w:hAnsi="宋体"/>
                <w:color w:val="auto"/>
                <w:sz w:val="30"/>
                <w:szCs w:val="30"/>
              </w:rPr>
            </w:pPr>
          </w:p>
        </w:tc>
        <w:tc>
          <w:tcPr>
            <w:tcW w:w="1667" w:type="dxa"/>
            <w:noWrap w:val="0"/>
            <w:vAlign w:val="top"/>
          </w:tcPr>
          <w:p>
            <w:pP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17"/>
              <w:keepNext/>
              <w:spacing w:after="0" w:line="440" w:lineRule="exact"/>
              <w:ind w:left="63" w:right="63"/>
              <w:rPr>
                <w:rFonts w:ascii="宋体" w:hAnsi="宋体"/>
                <w:color w:val="auto"/>
                <w:kern w:val="2"/>
                <w:sz w:val="30"/>
                <w:szCs w:val="30"/>
              </w:rPr>
            </w:pPr>
          </w:p>
        </w:tc>
        <w:tc>
          <w:tcPr>
            <w:tcW w:w="1276"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243" w:type="dxa"/>
            <w:noWrap w:val="0"/>
            <w:vAlign w:val="center"/>
          </w:tcPr>
          <w:p>
            <w:pPr>
              <w:pStyle w:val="17"/>
              <w:keepNext/>
              <w:spacing w:after="0" w:line="440" w:lineRule="exact"/>
              <w:ind w:left="63" w:right="63"/>
              <w:rPr>
                <w:rFonts w:ascii="宋体" w:hAnsi="宋体"/>
                <w:color w:val="auto"/>
                <w:kern w:val="2"/>
                <w:sz w:val="30"/>
                <w:szCs w:val="30"/>
              </w:rPr>
            </w:pPr>
          </w:p>
        </w:tc>
        <w:tc>
          <w:tcPr>
            <w:tcW w:w="1450" w:type="dxa"/>
            <w:noWrap w:val="0"/>
            <w:vAlign w:val="center"/>
          </w:tcPr>
          <w:p>
            <w:pPr>
              <w:pStyle w:val="17"/>
              <w:keepNext/>
              <w:spacing w:after="0" w:line="440" w:lineRule="exact"/>
              <w:ind w:left="63" w:right="63"/>
              <w:rPr>
                <w:rFonts w:ascii="宋体" w:hAnsi="宋体"/>
                <w:color w:val="auto"/>
                <w:kern w:val="2"/>
                <w:sz w:val="30"/>
                <w:szCs w:val="30"/>
              </w:rPr>
            </w:pPr>
          </w:p>
        </w:tc>
        <w:tc>
          <w:tcPr>
            <w:tcW w:w="1667"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ascii="宋体" w:hAnsi="宋体"/>
                <w:color w:val="auto"/>
                <w:sz w:val="30"/>
                <w:szCs w:val="30"/>
              </w:rPr>
            </w:pPr>
          </w:p>
        </w:tc>
        <w:tc>
          <w:tcPr>
            <w:tcW w:w="1276" w:type="dxa"/>
            <w:noWrap w:val="0"/>
            <w:vAlign w:val="top"/>
          </w:tcPr>
          <w:p>
            <w:pPr>
              <w:rPr>
                <w:rFonts w:ascii="宋体" w:hAnsi="宋体"/>
                <w:color w:val="auto"/>
                <w:sz w:val="30"/>
                <w:szCs w:val="30"/>
              </w:rPr>
            </w:pPr>
          </w:p>
        </w:tc>
        <w:tc>
          <w:tcPr>
            <w:tcW w:w="1450" w:type="dxa"/>
            <w:noWrap w:val="0"/>
            <w:vAlign w:val="top"/>
          </w:tcPr>
          <w:p>
            <w:pPr>
              <w:rPr>
                <w:rFonts w:ascii="宋体" w:hAnsi="宋体"/>
                <w:color w:val="auto"/>
                <w:sz w:val="30"/>
                <w:szCs w:val="30"/>
              </w:rPr>
            </w:pPr>
          </w:p>
        </w:tc>
        <w:tc>
          <w:tcPr>
            <w:tcW w:w="1243" w:type="dxa"/>
            <w:noWrap w:val="0"/>
            <w:vAlign w:val="top"/>
          </w:tcPr>
          <w:p>
            <w:pPr>
              <w:rPr>
                <w:rFonts w:ascii="宋体" w:hAnsi="宋体"/>
                <w:color w:val="auto"/>
                <w:sz w:val="30"/>
                <w:szCs w:val="30"/>
              </w:rPr>
            </w:pPr>
          </w:p>
        </w:tc>
        <w:tc>
          <w:tcPr>
            <w:tcW w:w="1450" w:type="dxa"/>
            <w:noWrap w:val="0"/>
            <w:vAlign w:val="top"/>
          </w:tcPr>
          <w:p>
            <w:pPr>
              <w:rPr>
                <w:rFonts w:ascii="宋体" w:hAnsi="宋体"/>
                <w:color w:val="auto"/>
                <w:sz w:val="30"/>
                <w:szCs w:val="30"/>
              </w:rPr>
            </w:pPr>
          </w:p>
        </w:tc>
        <w:tc>
          <w:tcPr>
            <w:tcW w:w="1667" w:type="dxa"/>
            <w:noWrap w:val="0"/>
            <w:vAlign w:val="top"/>
          </w:tcPr>
          <w:p>
            <w:pP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ascii="宋体" w:hAnsi="宋体"/>
                <w:color w:val="auto"/>
                <w:sz w:val="30"/>
                <w:szCs w:val="30"/>
              </w:rPr>
            </w:pPr>
          </w:p>
        </w:tc>
        <w:tc>
          <w:tcPr>
            <w:tcW w:w="1276" w:type="dxa"/>
            <w:noWrap w:val="0"/>
            <w:vAlign w:val="top"/>
          </w:tcPr>
          <w:p>
            <w:pPr>
              <w:rPr>
                <w:rFonts w:ascii="宋体" w:hAnsi="宋体"/>
                <w:color w:val="auto"/>
                <w:sz w:val="30"/>
                <w:szCs w:val="30"/>
              </w:rPr>
            </w:pPr>
          </w:p>
        </w:tc>
        <w:tc>
          <w:tcPr>
            <w:tcW w:w="1450" w:type="dxa"/>
            <w:noWrap w:val="0"/>
            <w:vAlign w:val="top"/>
          </w:tcPr>
          <w:p>
            <w:pPr>
              <w:rPr>
                <w:rFonts w:ascii="宋体" w:hAnsi="宋体"/>
                <w:color w:val="auto"/>
                <w:sz w:val="30"/>
                <w:szCs w:val="30"/>
              </w:rPr>
            </w:pPr>
          </w:p>
        </w:tc>
        <w:tc>
          <w:tcPr>
            <w:tcW w:w="1243" w:type="dxa"/>
            <w:noWrap w:val="0"/>
            <w:vAlign w:val="top"/>
          </w:tcPr>
          <w:p>
            <w:pPr>
              <w:rPr>
                <w:rFonts w:ascii="宋体" w:hAnsi="宋体"/>
                <w:color w:val="auto"/>
                <w:sz w:val="30"/>
                <w:szCs w:val="30"/>
              </w:rPr>
            </w:pPr>
          </w:p>
        </w:tc>
        <w:tc>
          <w:tcPr>
            <w:tcW w:w="1450" w:type="dxa"/>
            <w:noWrap w:val="0"/>
            <w:vAlign w:val="top"/>
          </w:tcPr>
          <w:p>
            <w:pPr>
              <w:rPr>
                <w:rFonts w:ascii="宋体" w:hAnsi="宋体"/>
                <w:color w:val="auto"/>
                <w:sz w:val="30"/>
                <w:szCs w:val="30"/>
              </w:rPr>
            </w:pPr>
          </w:p>
        </w:tc>
        <w:tc>
          <w:tcPr>
            <w:tcW w:w="1667" w:type="dxa"/>
            <w:noWrap w:val="0"/>
            <w:vAlign w:val="top"/>
          </w:tcPr>
          <w:p>
            <w:pPr>
              <w:rPr>
                <w:rFonts w:ascii="宋体" w:hAnsi="宋体"/>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eastAsia="仿宋_GB2312"/>
                <w:color w:val="auto"/>
                <w:sz w:val="30"/>
                <w:szCs w:val="30"/>
              </w:rPr>
            </w:pPr>
          </w:p>
        </w:tc>
        <w:tc>
          <w:tcPr>
            <w:tcW w:w="1276"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243" w:type="dxa"/>
            <w:noWrap w:val="0"/>
            <w:vAlign w:val="top"/>
          </w:tcPr>
          <w:p>
            <w:pPr>
              <w:rPr>
                <w:rFonts w:eastAsia="仿宋_GB2312"/>
                <w:color w:val="auto"/>
                <w:sz w:val="30"/>
                <w:szCs w:val="30"/>
              </w:rPr>
            </w:pPr>
          </w:p>
        </w:tc>
        <w:tc>
          <w:tcPr>
            <w:tcW w:w="1450" w:type="dxa"/>
            <w:noWrap w:val="0"/>
            <w:vAlign w:val="top"/>
          </w:tcPr>
          <w:p>
            <w:pPr>
              <w:rPr>
                <w:rFonts w:eastAsia="仿宋_GB2312"/>
                <w:color w:val="auto"/>
                <w:sz w:val="30"/>
                <w:szCs w:val="30"/>
              </w:rPr>
            </w:pPr>
          </w:p>
        </w:tc>
        <w:tc>
          <w:tcPr>
            <w:tcW w:w="1667" w:type="dxa"/>
            <w:noWrap w:val="0"/>
            <w:vAlign w:val="top"/>
          </w:tcPr>
          <w:p>
            <w:pPr>
              <w:rPr>
                <w:rFonts w:eastAsia="仿宋_GB2312"/>
                <w:color w:val="auto"/>
                <w:sz w:val="30"/>
                <w:szCs w:val="30"/>
              </w:rPr>
            </w:pPr>
          </w:p>
        </w:tc>
      </w:tr>
    </w:tbl>
    <w:p>
      <w:pPr>
        <w:spacing w:line="440" w:lineRule="exact"/>
        <w:rPr>
          <w:rFonts w:ascii="宋体" w:hAnsi="宋体"/>
          <w:color w:val="auto"/>
          <w:sz w:val="30"/>
          <w:szCs w:val="30"/>
        </w:rPr>
      </w:pPr>
      <w:r>
        <w:rPr>
          <w:rFonts w:ascii="Times New Roman" w:hAnsi="Times New Roman" w:eastAsia="仿宋_GB2312"/>
          <w:color w:val="auto"/>
          <w:sz w:val="30"/>
          <w:szCs w:val="30"/>
        </w:rPr>
        <w:br w:type="page"/>
      </w:r>
      <w:r>
        <w:rPr>
          <w:rFonts w:ascii="宋体" w:hAnsi="宋体"/>
          <w:color w:val="auto"/>
          <w:sz w:val="30"/>
          <w:szCs w:val="30"/>
        </w:rPr>
        <w:t>附</w:t>
      </w:r>
      <w:bookmarkStart w:id="499" w:name="_Toc296944566"/>
      <w:bookmarkStart w:id="500" w:name="_Toc296503227"/>
      <w:bookmarkStart w:id="501" w:name="_Toc296347226"/>
      <w:bookmarkStart w:id="502" w:name="_Toc296891267"/>
      <w:bookmarkStart w:id="503" w:name="_Toc267261698"/>
      <w:bookmarkStart w:id="504" w:name="_Toc296346728"/>
      <w:bookmarkStart w:id="505" w:name="_Toc296891055"/>
      <w:r>
        <w:rPr>
          <w:rFonts w:ascii="宋体" w:hAnsi="宋体"/>
          <w:color w:val="auto"/>
          <w:sz w:val="30"/>
          <w:szCs w:val="30"/>
        </w:rPr>
        <w:t>件5：</w:t>
      </w:r>
    </w:p>
    <w:bookmarkEnd w:id="499"/>
    <w:bookmarkEnd w:id="500"/>
    <w:bookmarkEnd w:id="501"/>
    <w:bookmarkEnd w:id="502"/>
    <w:bookmarkEnd w:id="503"/>
    <w:bookmarkEnd w:id="504"/>
    <w:bookmarkEnd w:id="505"/>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承包人用于本工程施工的机械设备表</w:t>
      </w:r>
    </w:p>
    <w:tbl>
      <w:tblPr>
        <w:tblStyle w:val="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序号</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机械或设备名称</w:t>
            </w:r>
          </w:p>
        </w:tc>
        <w:tc>
          <w:tcPr>
            <w:tcW w:w="85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规格型号</w:t>
            </w:r>
          </w:p>
        </w:tc>
        <w:tc>
          <w:tcPr>
            <w:tcW w:w="1058"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数量</w:t>
            </w:r>
          </w:p>
        </w:tc>
        <w:tc>
          <w:tcPr>
            <w:tcW w:w="88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产地</w:t>
            </w:r>
          </w:p>
        </w:tc>
        <w:tc>
          <w:tcPr>
            <w:tcW w:w="102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制造年份</w:t>
            </w:r>
          </w:p>
        </w:tc>
        <w:tc>
          <w:tcPr>
            <w:tcW w:w="148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额定功率(kW)</w:t>
            </w:r>
          </w:p>
        </w:tc>
        <w:tc>
          <w:tcPr>
            <w:tcW w:w="1020"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生产能力</w:t>
            </w:r>
          </w:p>
        </w:tc>
        <w:tc>
          <w:tcPr>
            <w:tcW w:w="921"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418"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85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058"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88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02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48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020"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921" w:type="dxa"/>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418"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85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058"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88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02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48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020"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921"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850" w:type="dxa"/>
            <w:noWrap w:val="0"/>
            <w:vAlign w:val="center"/>
          </w:tcPr>
          <w:p>
            <w:pPr>
              <w:pStyle w:val="17"/>
              <w:keepNext/>
              <w:spacing w:after="0" w:line="440" w:lineRule="exact"/>
              <w:ind w:left="63" w:right="63"/>
              <w:rPr>
                <w:rFonts w:ascii="宋体" w:hAnsi="宋体"/>
                <w:color w:val="auto"/>
                <w:kern w:val="2"/>
                <w:sz w:val="30"/>
                <w:szCs w:val="30"/>
              </w:rPr>
            </w:pPr>
          </w:p>
        </w:tc>
        <w:tc>
          <w:tcPr>
            <w:tcW w:w="1058" w:type="dxa"/>
            <w:noWrap w:val="0"/>
            <w:vAlign w:val="center"/>
          </w:tcPr>
          <w:p>
            <w:pPr>
              <w:pStyle w:val="17"/>
              <w:keepNext/>
              <w:spacing w:after="0" w:line="440" w:lineRule="exact"/>
              <w:ind w:left="63" w:right="63"/>
              <w:rPr>
                <w:rFonts w:ascii="宋体" w:hAnsi="宋体"/>
                <w:color w:val="auto"/>
                <w:kern w:val="2"/>
                <w:sz w:val="30"/>
                <w:szCs w:val="30"/>
              </w:rPr>
            </w:pPr>
          </w:p>
        </w:tc>
        <w:tc>
          <w:tcPr>
            <w:tcW w:w="8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14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921"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850" w:type="dxa"/>
            <w:noWrap w:val="0"/>
            <w:vAlign w:val="center"/>
          </w:tcPr>
          <w:p>
            <w:pPr>
              <w:pStyle w:val="17"/>
              <w:keepNext/>
              <w:spacing w:after="0" w:line="440" w:lineRule="exact"/>
              <w:ind w:left="63" w:right="63"/>
              <w:rPr>
                <w:rFonts w:ascii="宋体" w:hAnsi="宋体"/>
                <w:color w:val="auto"/>
                <w:kern w:val="2"/>
                <w:sz w:val="30"/>
                <w:szCs w:val="30"/>
              </w:rPr>
            </w:pPr>
          </w:p>
        </w:tc>
        <w:tc>
          <w:tcPr>
            <w:tcW w:w="1058" w:type="dxa"/>
            <w:noWrap w:val="0"/>
            <w:vAlign w:val="center"/>
          </w:tcPr>
          <w:p>
            <w:pPr>
              <w:pStyle w:val="17"/>
              <w:keepNext/>
              <w:spacing w:after="0" w:line="440" w:lineRule="exact"/>
              <w:ind w:left="63" w:right="63"/>
              <w:rPr>
                <w:rFonts w:ascii="宋体" w:hAnsi="宋体"/>
                <w:color w:val="auto"/>
                <w:kern w:val="2"/>
                <w:sz w:val="30"/>
                <w:szCs w:val="30"/>
              </w:rPr>
            </w:pPr>
          </w:p>
        </w:tc>
        <w:tc>
          <w:tcPr>
            <w:tcW w:w="8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14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921"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850" w:type="dxa"/>
            <w:noWrap w:val="0"/>
            <w:vAlign w:val="center"/>
          </w:tcPr>
          <w:p>
            <w:pPr>
              <w:pStyle w:val="17"/>
              <w:keepNext/>
              <w:spacing w:after="0" w:line="440" w:lineRule="exact"/>
              <w:ind w:left="63" w:right="63"/>
              <w:rPr>
                <w:rFonts w:ascii="宋体" w:hAnsi="宋体"/>
                <w:color w:val="auto"/>
                <w:kern w:val="2"/>
                <w:sz w:val="30"/>
                <w:szCs w:val="30"/>
              </w:rPr>
            </w:pPr>
          </w:p>
        </w:tc>
        <w:tc>
          <w:tcPr>
            <w:tcW w:w="1058" w:type="dxa"/>
            <w:noWrap w:val="0"/>
            <w:vAlign w:val="center"/>
          </w:tcPr>
          <w:p>
            <w:pPr>
              <w:pStyle w:val="17"/>
              <w:keepNext/>
              <w:spacing w:after="0" w:line="440" w:lineRule="exact"/>
              <w:ind w:left="63" w:right="63"/>
              <w:rPr>
                <w:rFonts w:ascii="宋体" w:hAnsi="宋体"/>
                <w:color w:val="auto"/>
                <w:kern w:val="2"/>
                <w:sz w:val="30"/>
                <w:szCs w:val="30"/>
              </w:rPr>
            </w:pPr>
          </w:p>
        </w:tc>
        <w:tc>
          <w:tcPr>
            <w:tcW w:w="8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14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921"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850" w:type="dxa"/>
            <w:noWrap w:val="0"/>
            <w:vAlign w:val="center"/>
          </w:tcPr>
          <w:p>
            <w:pPr>
              <w:pStyle w:val="17"/>
              <w:keepNext/>
              <w:spacing w:after="0" w:line="440" w:lineRule="exact"/>
              <w:ind w:left="63" w:right="63"/>
              <w:rPr>
                <w:rFonts w:ascii="宋体" w:hAnsi="宋体"/>
                <w:color w:val="auto"/>
                <w:kern w:val="2"/>
                <w:sz w:val="30"/>
                <w:szCs w:val="30"/>
              </w:rPr>
            </w:pPr>
          </w:p>
        </w:tc>
        <w:tc>
          <w:tcPr>
            <w:tcW w:w="1058" w:type="dxa"/>
            <w:noWrap w:val="0"/>
            <w:vAlign w:val="center"/>
          </w:tcPr>
          <w:p>
            <w:pPr>
              <w:pStyle w:val="17"/>
              <w:keepNext/>
              <w:spacing w:after="0" w:line="440" w:lineRule="exact"/>
              <w:ind w:left="63" w:right="63"/>
              <w:rPr>
                <w:rFonts w:ascii="宋体" w:hAnsi="宋体"/>
                <w:color w:val="auto"/>
                <w:kern w:val="2"/>
                <w:sz w:val="30"/>
                <w:szCs w:val="30"/>
              </w:rPr>
            </w:pPr>
          </w:p>
        </w:tc>
        <w:tc>
          <w:tcPr>
            <w:tcW w:w="8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14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921"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850" w:type="dxa"/>
            <w:noWrap w:val="0"/>
            <w:vAlign w:val="center"/>
          </w:tcPr>
          <w:p>
            <w:pPr>
              <w:pStyle w:val="17"/>
              <w:keepNext/>
              <w:spacing w:after="0" w:line="440" w:lineRule="exact"/>
              <w:ind w:left="63" w:right="63"/>
              <w:rPr>
                <w:rFonts w:ascii="宋体" w:hAnsi="宋体"/>
                <w:color w:val="auto"/>
                <w:kern w:val="2"/>
                <w:sz w:val="30"/>
                <w:szCs w:val="30"/>
              </w:rPr>
            </w:pPr>
          </w:p>
        </w:tc>
        <w:tc>
          <w:tcPr>
            <w:tcW w:w="1058" w:type="dxa"/>
            <w:noWrap w:val="0"/>
            <w:vAlign w:val="center"/>
          </w:tcPr>
          <w:p>
            <w:pPr>
              <w:pStyle w:val="17"/>
              <w:keepNext/>
              <w:spacing w:after="0" w:line="440" w:lineRule="exact"/>
              <w:ind w:left="63" w:right="63"/>
              <w:rPr>
                <w:rFonts w:ascii="宋体" w:hAnsi="宋体"/>
                <w:color w:val="auto"/>
                <w:kern w:val="2"/>
                <w:sz w:val="30"/>
                <w:szCs w:val="30"/>
              </w:rPr>
            </w:pPr>
          </w:p>
        </w:tc>
        <w:tc>
          <w:tcPr>
            <w:tcW w:w="8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14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921"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ascii="宋体" w:hAnsi="宋体"/>
                <w:color w:val="auto"/>
                <w:kern w:val="2"/>
                <w:sz w:val="30"/>
                <w:szCs w:val="30"/>
              </w:rPr>
            </w:pPr>
          </w:p>
        </w:tc>
        <w:tc>
          <w:tcPr>
            <w:tcW w:w="1418" w:type="dxa"/>
            <w:noWrap w:val="0"/>
            <w:vAlign w:val="center"/>
          </w:tcPr>
          <w:p>
            <w:pPr>
              <w:pStyle w:val="17"/>
              <w:keepNext/>
              <w:spacing w:after="0" w:line="440" w:lineRule="exact"/>
              <w:ind w:left="63" w:right="63"/>
              <w:rPr>
                <w:rFonts w:ascii="宋体" w:hAnsi="宋体"/>
                <w:color w:val="auto"/>
                <w:kern w:val="2"/>
                <w:sz w:val="30"/>
                <w:szCs w:val="30"/>
              </w:rPr>
            </w:pPr>
          </w:p>
        </w:tc>
        <w:tc>
          <w:tcPr>
            <w:tcW w:w="850" w:type="dxa"/>
            <w:noWrap w:val="0"/>
            <w:vAlign w:val="center"/>
          </w:tcPr>
          <w:p>
            <w:pPr>
              <w:pStyle w:val="17"/>
              <w:keepNext/>
              <w:spacing w:after="0" w:line="440" w:lineRule="exact"/>
              <w:ind w:left="63" w:right="63"/>
              <w:rPr>
                <w:rFonts w:ascii="宋体" w:hAnsi="宋体"/>
                <w:color w:val="auto"/>
                <w:kern w:val="2"/>
                <w:sz w:val="30"/>
                <w:szCs w:val="30"/>
              </w:rPr>
            </w:pPr>
          </w:p>
        </w:tc>
        <w:tc>
          <w:tcPr>
            <w:tcW w:w="1058" w:type="dxa"/>
            <w:noWrap w:val="0"/>
            <w:vAlign w:val="center"/>
          </w:tcPr>
          <w:p>
            <w:pPr>
              <w:pStyle w:val="17"/>
              <w:keepNext/>
              <w:spacing w:after="0" w:line="440" w:lineRule="exact"/>
              <w:ind w:left="63" w:right="63"/>
              <w:rPr>
                <w:rFonts w:ascii="宋体" w:hAnsi="宋体"/>
                <w:color w:val="auto"/>
                <w:kern w:val="2"/>
                <w:sz w:val="30"/>
                <w:szCs w:val="30"/>
              </w:rPr>
            </w:pPr>
          </w:p>
        </w:tc>
        <w:tc>
          <w:tcPr>
            <w:tcW w:w="8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1480" w:type="dxa"/>
            <w:noWrap w:val="0"/>
            <w:vAlign w:val="center"/>
          </w:tcPr>
          <w:p>
            <w:pPr>
              <w:pStyle w:val="17"/>
              <w:keepNext/>
              <w:spacing w:after="0" w:line="440" w:lineRule="exact"/>
              <w:ind w:left="63" w:right="63"/>
              <w:rPr>
                <w:rFonts w:ascii="宋体" w:hAnsi="宋体"/>
                <w:color w:val="auto"/>
                <w:kern w:val="2"/>
                <w:sz w:val="30"/>
                <w:szCs w:val="30"/>
              </w:rPr>
            </w:pPr>
          </w:p>
        </w:tc>
        <w:tc>
          <w:tcPr>
            <w:tcW w:w="1020" w:type="dxa"/>
            <w:noWrap w:val="0"/>
            <w:vAlign w:val="center"/>
          </w:tcPr>
          <w:p>
            <w:pPr>
              <w:pStyle w:val="17"/>
              <w:keepNext/>
              <w:spacing w:after="0" w:line="440" w:lineRule="exact"/>
              <w:ind w:left="63" w:right="63"/>
              <w:rPr>
                <w:rFonts w:ascii="宋体" w:hAnsi="宋体"/>
                <w:color w:val="auto"/>
                <w:kern w:val="2"/>
                <w:sz w:val="30"/>
                <w:szCs w:val="30"/>
              </w:rPr>
            </w:pPr>
          </w:p>
        </w:tc>
        <w:tc>
          <w:tcPr>
            <w:tcW w:w="921"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17"/>
              <w:keepNext/>
              <w:spacing w:after="0" w:line="440" w:lineRule="exact"/>
              <w:ind w:left="63" w:right="63"/>
              <w:rPr>
                <w:rFonts w:eastAsia="仿宋_GB2312"/>
                <w:color w:val="auto"/>
                <w:kern w:val="2"/>
                <w:sz w:val="30"/>
                <w:szCs w:val="30"/>
              </w:rPr>
            </w:pPr>
          </w:p>
        </w:tc>
        <w:tc>
          <w:tcPr>
            <w:tcW w:w="1418" w:type="dxa"/>
            <w:noWrap w:val="0"/>
            <w:vAlign w:val="center"/>
          </w:tcPr>
          <w:p>
            <w:pPr>
              <w:pStyle w:val="17"/>
              <w:keepNext/>
              <w:spacing w:after="0" w:line="440" w:lineRule="exact"/>
              <w:ind w:left="63" w:right="63"/>
              <w:rPr>
                <w:rFonts w:eastAsia="仿宋_GB2312"/>
                <w:color w:val="auto"/>
                <w:kern w:val="2"/>
                <w:sz w:val="30"/>
                <w:szCs w:val="30"/>
              </w:rPr>
            </w:pPr>
          </w:p>
        </w:tc>
        <w:tc>
          <w:tcPr>
            <w:tcW w:w="850" w:type="dxa"/>
            <w:noWrap w:val="0"/>
            <w:vAlign w:val="center"/>
          </w:tcPr>
          <w:p>
            <w:pPr>
              <w:pStyle w:val="17"/>
              <w:keepNext/>
              <w:spacing w:after="0" w:line="440" w:lineRule="exact"/>
              <w:ind w:left="63" w:right="63"/>
              <w:rPr>
                <w:rFonts w:eastAsia="仿宋_GB2312"/>
                <w:color w:val="auto"/>
                <w:kern w:val="2"/>
                <w:sz w:val="30"/>
                <w:szCs w:val="30"/>
              </w:rPr>
            </w:pPr>
          </w:p>
        </w:tc>
        <w:tc>
          <w:tcPr>
            <w:tcW w:w="1058" w:type="dxa"/>
            <w:noWrap w:val="0"/>
            <w:vAlign w:val="center"/>
          </w:tcPr>
          <w:p>
            <w:pPr>
              <w:pStyle w:val="17"/>
              <w:keepNext/>
              <w:spacing w:after="0" w:line="440" w:lineRule="exact"/>
              <w:ind w:left="63" w:right="63"/>
              <w:rPr>
                <w:rFonts w:eastAsia="仿宋_GB2312"/>
                <w:color w:val="auto"/>
                <w:kern w:val="2"/>
                <w:sz w:val="30"/>
                <w:szCs w:val="30"/>
              </w:rPr>
            </w:pPr>
          </w:p>
        </w:tc>
        <w:tc>
          <w:tcPr>
            <w:tcW w:w="880" w:type="dxa"/>
            <w:noWrap w:val="0"/>
            <w:vAlign w:val="center"/>
          </w:tcPr>
          <w:p>
            <w:pPr>
              <w:pStyle w:val="17"/>
              <w:keepNext/>
              <w:spacing w:after="0" w:line="440" w:lineRule="exact"/>
              <w:ind w:left="63" w:right="63"/>
              <w:rPr>
                <w:rFonts w:eastAsia="仿宋_GB2312"/>
                <w:color w:val="auto"/>
                <w:kern w:val="2"/>
                <w:sz w:val="30"/>
                <w:szCs w:val="30"/>
              </w:rPr>
            </w:pPr>
          </w:p>
        </w:tc>
        <w:tc>
          <w:tcPr>
            <w:tcW w:w="1020" w:type="dxa"/>
            <w:noWrap w:val="0"/>
            <w:vAlign w:val="center"/>
          </w:tcPr>
          <w:p>
            <w:pPr>
              <w:pStyle w:val="17"/>
              <w:keepNext/>
              <w:spacing w:after="0" w:line="440" w:lineRule="exact"/>
              <w:ind w:left="63" w:right="63"/>
              <w:rPr>
                <w:rFonts w:eastAsia="仿宋_GB2312"/>
                <w:color w:val="auto"/>
                <w:kern w:val="2"/>
                <w:sz w:val="30"/>
                <w:szCs w:val="30"/>
              </w:rPr>
            </w:pPr>
          </w:p>
        </w:tc>
        <w:tc>
          <w:tcPr>
            <w:tcW w:w="1480" w:type="dxa"/>
            <w:noWrap w:val="0"/>
            <w:vAlign w:val="center"/>
          </w:tcPr>
          <w:p>
            <w:pPr>
              <w:pStyle w:val="17"/>
              <w:keepNext/>
              <w:spacing w:after="0" w:line="440" w:lineRule="exact"/>
              <w:ind w:left="63" w:right="63"/>
              <w:rPr>
                <w:rFonts w:eastAsia="仿宋_GB2312"/>
                <w:color w:val="auto"/>
                <w:kern w:val="2"/>
                <w:sz w:val="30"/>
                <w:szCs w:val="30"/>
              </w:rPr>
            </w:pPr>
          </w:p>
        </w:tc>
        <w:tc>
          <w:tcPr>
            <w:tcW w:w="1020" w:type="dxa"/>
            <w:noWrap w:val="0"/>
            <w:vAlign w:val="center"/>
          </w:tcPr>
          <w:p>
            <w:pPr>
              <w:pStyle w:val="17"/>
              <w:keepNext/>
              <w:spacing w:after="0" w:line="440" w:lineRule="exact"/>
              <w:ind w:left="63" w:right="63"/>
              <w:rPr>
                <w:rFonts w:eastAsia="仿宋_GB2312"/>
                <w:color w:val="auto"/>
                <w:kern w:val="2"/>
                <w:sz w:val="30"/>
                <w:szCs w:val="30"/>
              </w:rPr>
            </w:pPr>
          </w:p>
        </w:tc>
        <w:tc>
          <w:tcPr>
            <w:tcW w:w="921" w:type="dxa"/>
            <w:noWrap w:val="0"/>
            <w:vAlign w:val="center"/>
          </w:tcPr>
          <w:p>
            <w:pPr>
              <w:pStyle w:val="17"/>
              <w:keepNext/>
              <w:spacing w:after="0" w:line="440" w:lineRule="exact"/>
              <w:ind w:left="63" w:right="63"/>
              <w:rPr>
                <w:rFonts w:eastAsia="仿宋_GB2312"/>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eastAsia="仿宋_GB2312"/>
                <w:color w:val="auto"/>
                <w:sz w:val="30"/>
                <w:szCs w:val="30"/>
              </w:rPr>
            </w:pPr>
          </w:p>
        </w:tc>
        <w:tc>
          <w:tcPr>
            <w:tcW w:w="1418" w:type="dxa"/>
            <w:noWrap w:val="0"/>
            <w:vAlign w:val="top"/>
          </w:tcPr>
          <w:p>
            <w:pPr>
              <w:rPr>
                <w:rFonts w:eastAsia="仿宋_GB2312"/>
                <w:color w:val="auto"/>
                <w:sz w:val="30"/>
                <w:szCs w:val="30"/>
              </w:rPr>
            </w:pPr>
          </w:p>
        </w:tc>
        <w:tc>
          <w:tcPr>
            <w:tcW w:w="850" w:type="dxa"/>
            <w:noWrap w:val="0"/>
            <w:vAlign w:val="top"/>
          </w:tcPr>
          <w:p>
            <w:pPr>
              <w:rPr>
                <w:rFonts w:eastAsia="仿宋_GB2312"/>
                <w:color w:val="auto"/>
                <w:sz w:val="30"/>
                <w:szCs w:val="30"/>
              </w:rPr>
            </w:pPr>
          </w:p>
        </w:tc>
        <w:tc>
          <w:tcPr>
            <w:tcW w:w="1058" w:type="dxa"/>
            <w:noWrap w:val="0"/>
            <w:vAlign w:val="top"/>
          </w:tcPr>
          <w:p>
            <w:pPr>
              <w:rPr>
                <w:rFonts w:eastAsia="仿宋_GB2312"/>
                <w:color w:val="auto"/>
                <w:sz w:val="30"/>
                <w:szCs w:val="30"/>
              </w:rPr>
            </w:pPr>
          </w:p>
        </w:tc>
        <w:tc>
          <w:tcPr>
            <w:tcW w:w="8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1480" w:type="dxa"/>
            <w:noWrap w:val="0"/>
            <w:vAlign w:val="top"/>
          </w:tcPr>
          <w:p>
            <w:pPr>
              <w:rPr>
                <w:rFonts w:eastAsia="仿宋_GB2312"/>
                <w:color w:val="auto"/>
                <w:sz w:val="30"/>
                <w:szCs w:val="30"/>
              </w:rPr>
            </w:pPr>
          </w:p>
        </w:tc>
        <w:tc>
          <w:tcPr>
            <w:tcW w:w="1020" w:type="dxa"/>
            <w:noWrap w:val="0"/>
            <w:vAlign w:val="top"/>
          </w:tcPr>
          <w:p>
            <w:pPr>
              <w:rPr>
                <w:rFonts w:eastAsia="仿宋_GB2312"/>
                <w:color w:val="auto"/>
                <w:sz w:val="30"/>
                <w:szCs w:val="30"/>
              </w:rPr>
            </w:pPr>
          </w:p>
        </w:tc>
        <w:tc>
          <w:tcPr>
            <w:tcW w:w="921" w:type="dxa"/>
            <w:noWrap w:val="0"/>
            <w:vAlign w:val="top"/>
          </w:tcPr>
          <w:p>
            <w:pPr>
              <w:rPr>
                <w:rFonts w:eastAsia="仿宋_GB2312"/>
                <w:color w:val="auto"/>
                <w:sz w:val="30"/>
                <w:szCs w:val="30"/>
              </w:rPr>
            </w:pPr>
          </w:p>
        </w:tc>
      </w:tr>
    </w:tbl>
    <w:p>
      <w:pPr>
        <w:spacing w:line="440" w:lineRule="exact"/>
        <w:rPr>
          <w:rFonts w:ascii="宋体" w:hAnsi="宋体"/>
          <w:color w:val="auto"/>
          <w:sz w:val="30"/>
          <w:szCs w:val="30"/>
        </w:rPr>
      </w:pPr>
      <w:r>
        <w:rPr>
          <w:rFonts w:ascii="宋体" w:hAnsi="宋体"/>
          <w:color w:val="auto"/>
          <w:sz w:val="30"/>
          <w:szCs w:val="30"/>
        </w:rPr>
        <w:t>附</w:t>
      </w:r>
      <w:bookmarkStart w:id="506" w:name="_Toc267261699"/>
      <w:bookmarkStart w:id="507" w:name="_Toc296347227"/>
      <w:bookmarkStart w:id="508" w:name="_Toc296891268"/>
      <w:bookmarkStart w:id="509" w:name="_Toc296944567"/>
      <w:bookmarkStart w:id="510" w:name="_Toc296503228"/>
      <w:bookmarkStart w:id="511" w:name="_Toc296891056"/>
      <w:bookmarkStart w:id="512" w:name="_Toc296346729"/>
      <w:r>
        <w:rPr>
          <w:rFonts w:ascii="宋体" w:hAnsi="宋体"/>
          <w:color w:val="auto"/>
          <w:sz w:val="30"/>
          <w:szCs w:val="30"/>
        </w:rPr>
        <w:t>件6：</w:t>
      </w:r>
    </w:p>
    <w:bookmarkEnd w:id="506"/>
    <w:bookmarkEnd w:id="507"/>
    <w:bookmarkEnd w:id="508"/>
    <w:bookmarkEnd w:id="509"/>
    <w:bookmarkEnd w:id="510"/>
    <w:bookmarkEnd w:id="511"/>
    <w:bookmarkEnd w:id="512"/>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承包人主要施工管理人员表</w:t>
      </w:r>
    </w:p>
    <w:tbl>
      <w:tblPr>
        <w:tblStyle w:val="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名    称</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姓名</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30"/>
                <w:szCs w:val="30"/>
              </w:rPr>
            </w:pPr>
            <w:r>
              <w:rPr>
                <w:rFonts w:ascii="宋体" w:hAnsi="宋体"/>
                <w:color w:val="auto"/>
                <w:kern w:val="2"/>
                <w:sz w:val="30"/>
                <w:szCs w:val="30"/>
              </w:rPr>
              <w:t>职务</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30"/>
                <w:szCs w:val="30"/>
              </w:rPr>
            </w:pPr>
            <w:r>
              <w:rPr>
                <w:rFonts w:ascii="宋体" w:hAnsi="宋体"/>
                <w:color w:val="auto"/>
                <w:kern w:val="2"/>
                <w:sz w:val="30"/>
                <w:szCs w:val="30"/>
              </w:rPr>
              <w:t>职称</w:t>
            </w:r>
          </w:p>
        </w:tc>
        <w:tc>
          <w:tcPr>
            <w:tcW w:w="4252"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30"/>
                <w:szCs w:val="30"/>
              </w:rPr>
            </w:pPr>
            <w:r>
              <w:rPr>
                <w:rFonts w:ascii="宋体" w:hAnsi="宋体"/>
                <w:color w:val="auto"/>
                <w:kern w:val="2"/>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项目主管</w:t>
            </w:r>
          </w:p>
        </w:tc>
        <w:tc>
          <w:tcPr>
            <w:tcW w:w="1418" w:type="dxa"/>
            <w:tcBorders>
              <w:top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134"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134"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4252"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其他人员</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项目经理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项目副经理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技术负责人</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造价管理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质量管理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材料管理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计划管理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安全管理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其他人员</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tcBorders>
              <w:bottom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134" w:type="dxa"/>
            <w:tcBorders>
              <w:bottom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134" w:type="dxa"/>
            <w:tcBorders>
              <w:bottom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4252" w:type="dxa"/>
            <w:tcBorders>
              <w:bottom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17"/>
              <w:keepNext/>
              <w:spacing w:after="0" w:line="440" w:lineRule="exact"/>
              <w:ind w:left="63" w:right="63"/>
              <w:rPr>
                <w:rFonts w:ascii="宋体" w:hAnsi="宋体"/>
                <w:color w:val="auto"/>
                <w:kern w:val="2"/>
                <w:sz w:val="28"/>
                <w:szCs w:val="30"/>
              </w:rPr>
            </w:pPr>
          </w:p>
        </w:tc>
        <w:tc>
          <w:tcPr>
            <w:tcW w:w="1418"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28"/>
                <w:szCs w:val="30"/>
              </w:rPr>
            </w:pPr>
          </w:p>
        </w:tc>
        <w:tc>
          <w:tcPr>
            <w:tcW w:w="1134"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134"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4252"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30"/>
                <w:szCs w:val="30"/>
              </w:rPr>
            </w:pPr>
          </w:p>
        </w:tc>
      </w:tr>
    </w:tbl>
    <w:p>
      <w:pPr>
        <w:spacing w:line="440" w:lineRule="exact"/>
        <w:rPr>
          <w:rFonts w:ascii="宋体" w:hAnsi="宋体"/>
          <w:color w:val="auto"/>
          <w:sz w:val="30"/>
          <w:szCs w:val="30"/>
        </w:rPr>
      </w:pPr>
      <w:r>
        <w:rPr>
          <w:rFonts w:ascii="宋体" w:hAnsi="宋体"/>
          <w:color w:val="auto"/>
          <w:sz w:val="30"/>
          <w:szCs w:val="30"/>
        </w:rPr>
        <w:br w:type="page"/>
      </w:r>
      <w:r>
        <w:rPr>
          <w:rFonts w:ascii="宋体" w:hAnsi="宋体"/>
          <w:color w:val="auto"/>
          <w:sz w:val="30"/>
          <w:szCs w:val="30"/>
        </w:rPr>
        <w:t>附</w:t>
      </w:r>
      <w:bookmarkStart w:id="513" w:name="_Toc296347228"/>
      <w:bookmarkStart w:id="514" w:name="_Toc296503229"/>
      <w:bookmarkStart w:id="515" w:name="_Toc296891057"/>
      <w:bookmarkStart w:id="516" w:name="_Toc296891269"/>
      <w:bookmarkStart w:id="517" w:name="_Toc296346730"/>
      <w:bookmarkStart w:id="518" w:name="_Toc296944568"/>
      <w:r>
        <w:rPr>
          <w:rFonts w:ascii="宋体" w:hAnsi="宋体"/>
          <w:color w:val="auto"/>
          <w:sz w:val="30"/>
          <w:szCs w:val="30"/>
        </w:rPr>
        <w:t>件7：</w:t>
      </w:r>
    </w:p>
    <w:bookmarkEnd w:id="513"/>
    <w:bookmarkEnd w:id="514"/>
    <w:bookmarkEnd w:id="515"/>
    <w:bookmarkEnd w:id="516"/>
    <w:bookmarkEnd w:id="517"/>
    <w:bookmarkEnd w:id="518"/>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分包人主要施工管理人员表</w:t>
      </w:r>
    </w:p>
    <w:tbl>
      <w:tblPr>
        <w:tblStyle w:val="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名    称</w:t>
            </w:r>
          </w:p>
        </w:tc>
        <w:tc>
          <w:tcPr>
            <w:tcW w:w="1418"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姓名</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30"/>
                <w:szCs w:val="30"/>
              </w:rPr>
            </w:pPr>
            <w:r>
              <w:rPr>
                <w:rFonts w:ascii="宋体" w:hAnsi="宋体"/>
                <w:color w:val="auto"/>
                <w:kern w:val="2"/>
                <w:sz w:val="30"/>
                <w:szCs w:val="30"/>
              </w:rPr>
              <w:t>职务</w:t>
            </w:r>
          </w:p>
        </w:tc>
        <w:tc>
          <w:tcPr>
            <w:tcW w:w="1134"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30"/>
                <w:szCs w:val="30"/>
              </w:rPr>
            </w:pPr>
            <w:r>
              <w:rPr>
                <w:rFonts w:ascii="宋体" w:hAnsi="宋体"/>
                <w:color w:val="auto"/>
                <w:kern w:val="2"/>
                <w:sz w:val="30"/>
                <w:szCs w:val="30"/>
              </w:rPr>
              <w:t>职称</w:t>
            </w:r>
          </w:p>
        </w:tc>
        <w:tc>
          <w:tcPr>
            <w:tcW w:w="4252" w:type="dxa"/>
            <w:tcBorders>
              <w:top w:val="single" w:color="auto" w:sz="12" w:space="0"/>
              <w:bottom w:val="double" w:color="auto" w:sz="6" w:space="0"/>
            </w:tcBorders>
            <w:noWrap w:val="0"/>
            <w:vAlign w:val="center"/>
          </w:tcPr>
          <w:p>
            <w:pPr>
              <w:pStyle w:val="17"/>
              <w:keepNext/>
              <w:spacing w:after="0" w:line="440" w:lineRule="exact"/>
              <w:ind w:left="63" w:right="63"/>
              <w:rPr>
                <w:rFonts w:ascii="宋体" w:hAnsi="宋体"/>
                <w:color w:val="auto"/>
                <w:kern w:val="2"/>
                <w:sz w:val="30"/>
                <w:szCs w:val="30"/>
              </w:rPr>
            </w:pPr>
            <w:r>
              <w:rPr>
                <w:rFonts w:ascii="宋体" w:hAnsi="宋体"/>
                <w:color w:val="auto"/>
                <w:kern w:val="2"/>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项目主管</w:t>
            </w:r>
          </w:p>
        </w:tc>
        <w:tc>
          <w:tcPr>
            <w:tcW w:w="1418" w:type="dxa"/>
            <w:tcBorders>
              <w:top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134"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134"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4252" w:type="dxa"/>
            <w:tcBorders>
              <w:top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其他人员</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项目经理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项目副经理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技术负责人</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造价管理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质量管理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材料管理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计划管理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安全管理</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其他人员</w:t>
            </w: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tcBorders>
              <w:bottom w:val="nil"/>
            </w:tcBorders>
            <w:noWrap w:val="0"/>
            <w:vAlign w:val="center"/>
          </w:tcPr>
          <w:p>
            <w:pPr>
              <w:pStyle w:val="17"/>
              <w:keepNext/>
              <w:spacing w:after="0" w:line="440" w:lineRule="exact"/>
              <w:ind w:left="63" w:right="63"/>
              <w:rPr>
                <w:rFonts w:ascii="宋体" w:hAnsi="宋体"/>
                <w:color w:val="auto"/>
                <w:kern w:val="2"/>
                <w:sz w:val="28"/>
                <w:szCs w:val="30"/>
              </w:rPr>
            </w:pPr>
          </w:p>
        </w:tc>
        <w:tc>
          <w:tcPr>
            <w:tcW w:w="1134" w:type="dxa"/>
            <w:tcBorders>
              <w:bottom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1134" w:type="dxa"/>
            <w:tcBorders>
              <w:bottom w:val="nil"/>
            </w:tcBorders>
            <w:noWrap w:val="0"/>
            <w:vAlign w:val="center"/>
          </w:tcPr>
          <w:p>
            <w:pPr>
              <w:pStyle w:val="17"/>
              <w:keepNext/>
              <w:spacing w:after="0" w:line="440" w:lineRule="exact"/>
              <w:ind w:left="63" w:right="63"/>
              <w:rPr>
                <w:rFonts w:ascii="宋体" w:hAnsi="宋体"/>
                <w:color w:val="auto"/>
                <w:kern w:val="2"/>
                <w:sz w:val="30"/>
                <w:szCs w:val="30"/>
              </w:rPr>
            </w:pPr>
          </w:p>
        </w:tc>
        <w:tc>
          <w:tcPr>
            <w:tcW w:w="4252" w:type="dxa"/>
            <w:tcBorders>
              <w:bottom w:val="nil"/>
            </w:tcBorders>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17"/>
              <w:keepNext/>
              <w:spacing w:after="0" w:line="440" w:lineRule="exact"/>
              <w:ind w:left="63" w:right="63"/>
              <w:rPr>
                <w:rFonts w:ascii="宋体" w:hAnsi="宋体"/>
                <w:color w:val="auto"/>
                <w:kern w:val="2"/>
                <w:sz w:val="28"/>
                <w:szCs w:val="30"/>
              </w:rPr>
            </w:pPr>
          </w:p>
        </w:tc>
        <w:tc>
          <w:tcPr>
            <w:tcW w:w="1418" w:type="dxa"/>
            <w:noWrap w:val="0"/>
            <w:vAlign w:val="center"/>
          </w:tcPr>
          <w:p>
            <w:pPr>
              <w:pStyle w:val="17"/>
              <w:keepNext/>
              <w:spacing w:after="0" w:line="440" w:lineRule="exact"/>
              <w:ind w:left="63" w:right="63"/>
              <w:rPr>
                <w:rFonts w:ascii="宋体" w:hAnsi="宋体"/>
                <w:color w:val="auto"/>
                <w:kern w:val="2"/>
                <w:sz w:val="28"/>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1134" w:type="dxa"/>
            <w:noWrap w:val="0"/>
            <w:vAlign w:val="center"/>
          </w:tcPr>
          <w:p>
            <w:pPr>
              <w:pStyle w:val="17"/>
              <w:keepNext/>
              <w:spacing w:after="0" w:line="440" w:lineRule="exact"/>
              <w:ind w:left="63" w:right="63"/>
              <w:rPr>
                <w:rFonts w:ascii="宋体" w:hAnsi="宋体"/>
                <w:color w:val="auto"/>
                <w:kern w:val="2"/>
                <w:sz w:val="30"/>
                <w:szCs w:val="30"/>
              </w:rPr>
            </w:pPr>
          </w:p>
        </w:tc>
        <w:tc>
          <w:tcPr>
            <w:tcW w:w="4252" w:type="dxa"/>
            <w:noWrap w:val="0"/>
            <w:vAlign w:val="center"/>
          </w:tcPr>
          <w:p>
            <w:pPr>
              <w:pStyle w:val="17"/>
              <w:keepNext/>
              <w:spacing w:after="0" w:line="440" w:lineRule="exact"/>
              <w:ind w:left="63" w:right="63"/>
              <w:rPr>
                <w:rFonts w:ascii="宋体" w:hAnsi="宋体"/>
                <w:color w:val="auto"/>
                <w:kern w:val="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17"/>
              <w:keepNext/>
              <w:spacing w:after="0" w:line="440" w:lineRule="exact"/>
              <w:ind w:left="63" w:right="63"/>
              <w:rPr>
                <w:rFonts w:ascii="宋体" w:hAnsi="宋体"/>
                <w:color w:val="auto"/>
                <w:kern w:val="2"/>
                <w:sz w:val="28"/>
                <w:szCs w:val="30"/>
              </w:rPr>
            </w:pPr>
          </w:p>
        </w:tc>
        <w:tc>
          <w:tcPr>
            <w:tcW w:w="1418"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28"/>
                <w:szCs w:val="30"/>
              </w:rPr>
            </w:pPr>
          </w:p>
        </w:tc>
        <w:tc>
          <w:tcPr>
            <w:tcW w:w="1134"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1134"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30"/>
                <w:szCs w:val="30"/>
              </w:rPr>
            </w:pPr>
          </w:p>
        </w:tc>
        <w:tc>
          <w:tcPr>
            <w:tcW w:w="4252" w:type="dxa"/>
            <w:tcBorders>
              <w:bottom w:val="single" w:color="auto" w:sz="12" w:space="0"/>
            </w:tcBorders>
            <w:noWrap w:val="0"/>
            <w:vAlign w:val="center"/>
          </w:tcPr>
          <w:p>
            <w:pPr>
              <w:pStyle w:val="17"/>
              <w:keepNext/>
              <w:spacing w:after="0" w:line="440" w:lineRule="exact"/>
              <w:ind w:left="63" w:right="63"/>
              <w:rPr>
                <w:rFonts w:ascii="宋体" w:hAnsi="宋体"/>
                <w:color w:val="auto"/>
                <w:kern w:val="2"/>
                <w:sz w:val="30"/>
                <w:szCs w:val="30"/>
              </w:rPr>
            </w:pPr>
          </w:p>
        </w:tc>
      </w:tr>
    </w:tbl>
    <w:p>
      <w:pPr>
        <w:spacing w:line="440" w:lineRule="exact"/>
        <w:rPr>
          <w:rFonts w:ascii="宋体" w:hAnsi="宋体"/>
          <w:color w:val="auto"/>
          <w:sz w:val="24"/>
          <w:szCs w:val="24"/>
        </w:rPr>
      </w:pPr>
      <w:r>
        <w:rPr>
          <w:rFonts w:ascii="宋体" w:hAnsi="宋体"/>
          <w:color w:val="auto"/>
          <w:sz w:val="30"/>
          <w:szCs w:val="30"/>
        </w:rPr>
        <w:br w:type="page"/>
      </w:r>
      <w:bookmarkStart w:id="519" w:name="_Toc267261701"/>
      <w:r>
        <w:rPr>
          <w:rFonts w:ascii="宋体" w:hAnsi="宋体"/>
          <w:color w:val="auto"/>
          <w:sz w:val="24"/>
          <w:szCs w:val="24"/>
        </w:rPr>
        <w:t>附</w:t>
      </w:r>
      <w:bookmarkStart w:id="520" w:name="_Toc296503231"/>
      <w:bookmarkStart w:id="521" w:name="_Toc296891271"/>
      <w:bookmarkStart w:id="522" w:name="_Toc296944570"/>
      <w:bookmarkStart w:id="523" w:name="_Toc296346732"/>
      <w:bookmarkStart w:id="524" w:name="_Toc296347230"/>
      <w:bookmarkStart w:id="525" w:name="_Toc296891059"/>
      <w:r>
        <w:rPr>
          <w:rFonts w:ascii="宋体" w:hAnsi="宋体"/>
          <w:color w:val="auto"/>
          <w:sz w:val="24"/>
          <w:szCs w:val="24"/>
        </w:rPr>
        <w:t>件8：</w:t>
      </w:r>
    </w:p>
    <w:bookmarkEnd w:id="519"/>
    <w:bookmarkEnd w:id="520"/>
    <w:bookmarkEnd w:id="521"/>
    <w:bookmarkEnd w:id="522"/>
    <w:bookmarkEnd w:id="523"/>
    <w:bookmarkEnd w:id="524"/>
    <w:bookmarkEnd w:id="525"/>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履约担保</w:t>
      </w:r>
    </w:p>
    <w:p>
      <w:pPr>
        <w:spacing w:line="440" w:lineRule="exact"/>
        <w:rPr>
          <w:rFonts w:ascii="宋体" w:hAnsi="宋体"/>
          <w:color w:val="auto"/>
          <w:sz w:val="21"/>
          <w:szCs w:val="21"/>
        </w:rPr>
      </w:pPr>
      <w:r>
        <w:rPr>
          <w:rFonts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rPr>
        <w:t>（发包人名称）：</w:t>
      </w:r>
    </w:p>
    <w:p>
      <w:pPr>
        <w:spacing w:line="440" w:lineRule="exact"/>
        <w:rPr>
          <w:rFonts w:ascii="宋体" w:hAnsi="宋体"/>
          <w:color w:val="auto"/>
          <w:sz w:val="21"/>
          <w:szCs w:val="21"/>
        </w:rPr>
      </w:pPr>
    </w:p>
    <w:p>
      <w:pPr>
        <w:spacing w:line="360" w:lineRule="auto"/>
        <w:ind w:firstLine="420" w:firstLineChars="200"/>
        <w:rPr>
          <w:rFonts w:ascii="宋体" w:hAnsi="宋体"/>
          <w:color w:val="auto"/>
          <w:sz w:val="21"/>
          <w:szCs w:val="21"/>
        </w:rPr>
      </w:pPr>
      <w:r>
        <w:rPr>
          <w:rFonts w:ascii="宋体" w:hAnsi="宋体"/>
          <w:color w:val="auto"/>
          <w:sz w:val="21"/>
          <w:szCs w:val="21"/>
        </w:rPr>
        <w:t>鉴于</w:t>
      </w:r>
      <w:r>
        <w:rPr>
          <w:rFonts w:ascii="宋体" w:hAnsi="宋体"/>
          <w:color w:val="auto"/>
          <w:sz w:val="21"/>
          <w:szCs w:val="21"/>
          <w:u w:val="single"/>
        </w:rPr>
        <w:t xml:space="preserve">                </w:t>
      </w:r>
      <w:r>
        <w:rPr>
          <w:rFonts w:ascii="宋体" w:hAnsi="宋体"/>
          <w:color w:val="auto"/>
          <w:sz w:val="21"/>
          <w:szCs w:val="21"/>
        </w:rPr>
        <w:t>（发包人名称，以下简称“发包人”）与</w:t>
      </w:r>
    </w:p>
    <w:p>
      <w:pPr>
        <w:spacing w:line="360" w:lineRule="auto"/>
        <w:rPr>
          <w:rFonts w:ascii="宋体" w:hAnsi="宋体"/>
          <w:color w:val="auto"/>
          <w:sz w:val="21"/>
          <w:szCs w:val="21"/>
        </w:rPr>
      </w:pPr>
      <w:r>
        <w:rPr>
          <w:rFonts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（承包人名称）（以下称“承包人”）于</w:t>
      </w:r>
      <w:r>
        <w:rPr>
          <w:rFonts w:ascii="宋体" w:hAnsi="宋体"/>
          <w:color w:val="auto"/>
          <w:sz w:val="21"/>
          <w:szCs w:val="21"/>
          <w:u w:val="single"/>
        </w:rPr>
        <w:t xml:space="preserve">    </w:t>
      </w:r>
      <w:r>
        <w:rPr>
          <w:rFonts w:ascii="宋体" w:hAnsi="宋体"/>
          <w:color w:val="auto"/>
          <w:sz w:val="21"/>
          <w:szCs w:val="21"/>
        </w:rPr>
        <w:t>年</w:t>
      </w:r>
      <w:r>
        <w:rPr>
          <w:rFonts w:ascii="宋体" w:hAnsi="宋体"/>
          <w:color w:val="auto"/>
          <w:sz w:val="21"/>
          <w:szCs w:val="21"/>
          <w:u w:val="single"/>
        </w:rPr>
        <w:t xml:space="preserve">   </w:t>
      </w:r>
      <w:r>
        <w:rPr>
          <w:rFonts w:ascii="宋体" w:hAnsi="宋体"/>
          <w:color w:val="auto"/>
          <w:sz w:val="21"/>
          <w:szCs w:val="21"/>
        </w:rPr>
        <w:t>月</w:t>
      </w:r>
      <w:r>
        <w:rPr>
          <w:rFonts w:ascii="宋体" w:hAnsi="宋体"/>
          <w:color w:val="auto"/>
          <w:sz w:val="21"/>
          <w:szCs w:val="21"/>
          <w:u w:val="single"/>
        </w:rPr>
        <w:t xml:space="preserve">   </w:t>
      </w:r>
      <w:r>
        <w:rPr>
          <w:rFonts w:ascii="宋体" w:hAnsi="宋体"/>
          <w:color w:val="auto"/>
          <w:sz w:val="21"/>
          <w:szCs w:val="21"/>
        </w:rPr>
        <w:t>日就</w:t>
      </w:r>
      <w:r>
        <w:rPr>
          <w:rFonts w:ascii="宋体" w:hAnsi="宋体"/>
          <w:color w:val="auto"/>
          <w:sz w:val="21"/>
          <w:szCs w:val="21"/>
          <w:u w:val="single"/>
        </w:rPr>
        <w:t xml:space="preserve">                         </w:t>
      </w:r>
      <w:r>
        <w:rPr>
          <w:rFonts w:ascii="宋体" w:hAnsi="宋体"/>
          <w:color w:val="auto"/>
          <w:sz w:val="21"/>
          <w:szCs w:val="21"/>
        </w:rPr>
        <w:t xml:space="preserve">（工程名称）施工及有关事项协商一致共同签订《建设工程施工合同》。我方愿意无条件地、不可撤销地就承包人履行与你方签订的合同，向你方提供连带责任担保。 </w:t>
      </w:r>
    </w:p>
    <w:p>
      <w:pPr>
        <w:spacing w:line="360" w:lineRule="auto"/>
        <w:ind w:firstLine="420" w:firstLineChars="200"/>
        <w:rPr>
          <w:rFonts w:ascii="宋体" w:hAnsi="宋体"/>
          <w:color w:val="auto"/>
          <w:sz w:val="21"/>
          <w:szCs w:val="21"/>
        </w:rPr>
      </w:pPr>
      <w:r>
        <w:rPr>
          <w:rFonts w:ascii="宋体" w:hAnsi="宋体"/>
          <w:color w:val="auto"/>
          <w:sz w:val="21"/>
          <w:szCs w:val="21"/>
        </w:rPr>
        <w:t>1. 担保金额人民币（大写）</w:t>
      </w:r>
      <w:r>
        <w:rPr>
          <w:rFonts w:ascii="宋体" w:hAnsi="宋体"/>
          <w:color w:val="auto"/>
          <w:sz w:val="21"/>
          <w:szCs w:val="21"/>
          <w:u w:val="single"/>
        </w:rPr>
        <w:t xml:space="preserve">                 </w:t>
      </w:r>
      <w:r>
        <w:rPr>
          <w:rFonts w:ascii="宋体" w:hAnsi="宋体"/>
          <w:color w:val="auto"/>
          <w:sz w:val="21"/>
          <w:szCs w:val="21"/>
        </w:rPr>
        <w:t>元（¥</w:t>
      </w:r>
      <w:r>
        <w:rPr>
          <w:rFonts w:ascii="宋体" w:hAnsi="宋体"/>
          <w:color w:val="auto"/>
          <w:sz w:val="21"/>
          <w:szCs w:val="21"/>
          <w:u w:val="single"/>
        </w:rPr>
        <w:t xml:space="preserve">             </w:t>
      </w:r>
      <w:r>
        <w:rPr>
          <w:rFonts w:ascii="宋体" w:hAnsi="宋体"/>
          <w:color w:val="auto"/>
          <w:sz w:val="21"/>
          <w:szCs w:val="21"/>
        </w:rPr>
        <w:t>）。</w:t>
      </w:r>
    </w:p>
    <w:p>
      <w:pPr>
        <w:spacing w:line="360" w:lineRule="auto"/>
        <w:ind w:firstLine="420" w:firstLineChars="200"/>
        <w:rPr>
          <w:rFonts w:ascii="宋体" w:hAnsi="宋体"/>
          <w:color w:val="auto"/>
          <w:sz w:val="21"/>
          <w:szCs w:val="21"/>
        </w:rPr>
      </w:pPr>
      <w:r>
        <w:rPr>
          <w:rFonts w:ascii="宋体" w:hAnsi="宋体"/>
          <w:color w:val="auto"/>
          <w:sz w:val="21"/>
          <w:szCs w:val="21"/>
        </w:rPr>
        <w:t>2. 担保有效期自你方与承包人签订的合同生效之日起至你方签发或应签发工程接收证书之日止。</w:t>
      </w:r>
    </w:p>
    <w:p>
      <w:pPr>
        <w:spacing w:line="360" w:lineRule="auto"/>
        <w:ind w:firstLine="420" w:firstLineChars="200"/>
        <w:rPr>
          <w:rFonts w:ascii="宋体" w:hAnsi="宋体"/>
          <w:color w:val="auto"/>
          <w:sz w:val="21"/>
          <w:szCs w:val="21"/>
        </w:rPr>
      </w:pPr>
      <w:r>
        <w:rPr>
          <w:rFonts w:ascii="宋体" w:hAnsi="宋体"/>
          <w:color w:val="auto"/>
          <w:sz w:val="21"/>
          <w:szCs w:val="21"/>
        </w:rPr>
        <w:t>3. 在本担保有效期内，因承包人违反合同约定的义务给你方造成经济损失时，我方在收到你方以书面形式提出的在担保金额内的赔偿要求后，在7天内无条件支付。</w:t>
      </w:r>
    </w:p>
    <w:p>
      <w:pPr>
        <w:spacing w:line="360" w:lineRule="auto"/>
        <w:ind w:firstLine="420" w:firstLineChars="200"/>
        <w:rPr>
          <w:rFonts w:ascii="宋体" w:hAnsi="宋体"/>
          <w:color w:val="auto"/>
          <w:sz w:val="21"/>
          <w:szCs w:val="21"/>
        </w:rPr>
      </w:pPr>
      <w:r>
        <w:rPr>
          <w:rFonts w:ascii="宋体" w:hAnsi="宋体"/>
          <w:color w:val="auto"/>
          <w:sz w:val="21"/>
          <w:szCs w:val="21"/>
        </w:rPr>
        <w:t>4. 你方和承包人按合同约定变更合同时，我方承担本担保规定的义务不变。</w:t>
      </w:r>
    </w:p>
    <w:p>
      <w:pPr>
        <w:spacing w:line="360" w:lineRule="auto"/>
        <w:ind w:firstLine="420" w:firstLineChars="200"/>
        <w:rPr>
          <w:rFonts w:ascii="宋体" w:hAnsi="宋体"/>
          <w:color w:val="auto"/>
          <w:sz w:val="21"/>
          <w:szCs w:val="21"/>
        </w:rPr>
      </w:pPr>
      <w:r>
        <w:rPr>
          <w:rFonts w:ascii="宋体" w:hAnsi="宋体"/>
          <w:color w:val="auto"/>
          <w:sz w:val="21"/>
          <w:szCs w:val="21"/>
        </w:rPr>
        <w:t>5. 因本保函发生的纠纷，可由双方协商解决，协商不成的，任何一方均可提请</w:t>
      </w:r>
      <w:r>
        <w:rPr>
          <w:rFonts w:hint="eastAsia" w:ascii="宋体" w:hAnsi="宋体"/>
          <w:color w:val="auto"/>
          <w:sz w:val="21"/>
          <w:szCs w:val="21"/>
        </w:rPr>
        <w:t>工程所在地人民法院诉讼</w:t>
      </w:r>
      <w:r>
        <w:rPr>
          <w:rFonts w:ascii="宋体" w:hAnsi="宋体"/>
          <w:color w:val="auto"/>
          <w:sz w:val="21"/>
          <w:szCs w:val="21"/>
        </w:rPr>
        <w:t>。</w:t>
      </w:r>
    </w:p>
    <w:p>
      <w:pPr>
        <w:spacing w:line="360" w:lineRule="auto"/>
        <w:ind w:firstLine="420" w:firstLineChars="200"/>
        <w:rPr>
          <w:rFonts w:hint="eastAsia" w:ascii="宋体" w:hAnsi="宋体"/>
          <w:color w:val="auto"/>
          <w:sz w:val="21"/>
          <w:szCs w:val="21"/>
        </w:rPr>
      </w:pPr>
      <w:r>
        <w:rPr>
          <w:rFonts w:ascii="宋体" w:hAnsi="宋体"/>
          <w:color w:val="auto"/>
          <w:sz w:val="21"/>
          <w:szCs w:val="21"/>
        </w:rPr>
        <w:t>6. 本保函自我方法定代表人（或其授权代理人）签字加盖公章之日起生效。</w:t>
      </w:r>
    </w:p>
    <w:p>
      <w:pPr>
        <w:spacing w:line="360" w:lineRule="auto"/>
        <w:rPr>
          <w:rFonts w:hint="eastAsia" w:ascii="宋体" w:hAnsi="宋体"/>
          <w:color w:val="auto"/>
          <w:sz w:val="21"/>
          <w:szCs w:val="21"/>
        </w:rPr>
      </w:pPr>
    </w:p>
    <w:p>
      <w:pPr>
        <w:spacing w:line="360" w:lineRule="auto"/>
        <w:rPr>
          <w:rFonts w:ascii="宋体" w:hAnsi="宋体"/>
          <w:color w:val="auto"/>
          <w:sz w:val="21"/>
          <w:szCs w:val="21"/>
        </w:rPr>
      </w:pPr>
      <w:r>
        <w:rPr>
          <w:rFonts w:ascii="宋体" w:hAnsi="宋体"/>
          <w:color w:val="auto"/>
          <w:sz w:val="21"/>
          <w:szCs w:val="21"/>
        </w:rPr>
        <w:t>担 保 人：</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（盖单位章）</w:t>
      </w:r>
    </w:p>
    <w:p>
      <w:pPr>
        <w:spacing w:line="360" w:lineRule="auto"/>
        <w:rPr>
          <w:rFonts w:ascii="宋体" w:hAnsi="宋体"/>
          <w:color w:val="auto"/>
          <w:sz w:val="21"/>
          <w:szCs w:val="21"/>
        </w:rPr>
      </w:pPr>
      <w:r>
        <w:rPr>
          <w:rFonts w:ascii="宋体" w:hAnsi="宋体"/>
          <w:color w:val="auto"/>
          <w:sz w:val="21"/>
          <w:szCs w:val="21"/>
        </w:rPr>
        <w:t>法定代表人或其委托代理人：</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（签字）</w:t>
      </w:r>
    </w:p>
    <w:p>
      <w:pPr>
        <w:spacing w:line="360" w:lineRule="auto"/>
        <w:rPr>
          <w:rFonts w:ascii="宋体" w:hAnsi="宋体"/>
          <w:color w:val="auto"/>
          <w:sz w:val="21"/>
          <w:szCs w:val="21"/>
        </w:rPr>
      </w:pPr>
      <w:r>
        <w:rPr>
          <w:rFonts w:ascii="宋体" w:hAnsi="宋体"/>
          <w:color w:val="auto"/>
          <w:sz w:val="21"/>
          <w:szCs w:val="21"/>
        </w:rPr>
        <w:t>地    址：</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邮政编码：</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u w:val="single"/>
        </w:rPr>
      </w:pPr>
      <w:r>
        <w:rPr>
          <w:rFonts w:ascii="宋体" w:hAnsi="宋体"/>
          <w:color w:val="auto"/>
          <w:sz w:val="21"/>
          <w:szCs w:val="21"/>
        </w:rPr>
        <w:t>电    话：</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rPr>
          <w:rFonts w:ascii="宋体" w:hAnsi="宋体"/>
          <w:color w:val="auto"/>
          <w:sz w:val="21"/>
          <w:szCs w:val="21"/>
        </w:rPr>
      </w:pPr>
      <w:r>
        <w:rPr>
          <w:rFonts w:ascii="宋体" w:hAnsi="宋体"/>
          <w:color w:val="auto"/>
          <w:sz w:val="21"/>
          <w:szCs w:val="21"/>
        </w:rPr>
        <w:t>传    真：</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jc w:val="left"/>
        <w:rPr>
          <w:rFonts w:ascii="宋体" w:hAnsi="宋体"/>
          <w:color w:val="auto"/>
          <w:sz w:val="21"/>
          <w:szCs w:val="21"/>
          <w:u w:val="single"/>
        </w:rPr>
      </w:pPr>
    </w:p>
    <w:p>
      <w:pPr>
        <w:spacing w:line="360" w:lineRule="auto"/>
        <w:ind w:left="1519" w:hanging="1329" w:hangingChars="633"/>
        <w:rPr>
          <w:rFonts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年</w:t>
      </w:r>
      <w:r>
        <w:rPr>
          <w:rFonts w:ascii="宋体" w:hAnsi="宋体"/>
          <w:color w:val="auto"/>
          <w:sz w:val="21"/>
          <w:szCs w:val="21"/>
          <w:u w:val="single"/>
        </w:rPr>
        <w:t xml:space="preserve">        </w:t>
      </w:r>
      <w:r>
        <w:rPr>
          <w:rFonts w:ascii="宋体" w:hAnsi="宋体"/>
          <w:color w:val="auto"/>
          <w:sz w:val="21"/>
          <w:szCs w:val="21"/>
        </w:rPr>
        <w:t>月</w:t>
      </w:r>
      <w:r>
        <w:rPr>
          <w:rFonts w:ascii="宋体" w:hAnsi="宋体"/>
          <w:color w:val="auto"/>
          <w:sz w:val="21"/>
          <w:szCs w:val="21"/>
          <w:u w:val="single"/>
        </w:rPr>
        <w:t xml:space="preserve">        </w:t>
      </w:r>
      <w:r>
        <w:rPr>
          <w:rFonts w:ascii="宋体" w:hAnsi="宋体"/>
          <w:color w:val="auto"/>
          <w:sz w:val="21"/>
          <w:szCs w:val="21"/>
        </w:rPr>
        <w:t>日</w:t>
      </w:r>
    </w:p>
    <w:p>
      <w:pPr>
        <w:spacing w:line="360" w:lineRule="auto"/>
        <w:ind w:left="1519" w:hanging="1519" w:hangingChars="633"/>
        <w:rPr>
          <w:rFonts w:ascii="宋体" w:hAnsi="宋体"/>
          <w:color w:val="auto"/>
          <w:sz w:val="24"/>
          <w:szCs w:val="24"/>
        </w:rPr>
      </w:pPr>
    </w:p>
    <w:p>
      <w:pPr>
        <w:spacing w:line="360" w:lineRule="auto"/>
        <w:rPr>
          <w:rFonts w:ascii="宋体" w:hAnsi="宋体"/>
          <w:color w:val="auto"/>
          <w:sz w:val="24"/>
          <w:szCs w:val="24"/>
        </w:rPr>
      </w:pPr>
      <w:r>
        <w:rPr>
          <w:rFonts w:ascii="宋体" w:hAnsi="宋体"/>
          <w:color w:val="auto"/>
          <w:sz w:val="24"/>
          <w:szCs w:val="24"/>
        </w:rPr>
        <w:br w:type="page"/>
      </w:r>
      <w:r>
        <w:rPr>
          <w:rFonts w:ascii="宋体" w:hAnsi="宋体"/>
          <w:color w:val="auto"/>
          <w:sz w:val="24"/>
          <w:szCs w:val="24"/>
        </w:rPr>
        <w:t>附</w:t>
      </w:r>
      <w:bookmarkStart w:id="526" w:name="_Toc296891060"/>
      <w:bookmarkStart w:id="527" w:name="_Toc296346733"/>
      <w:bookmarkStart w:id="528" w:name="_Toc296347231"/>
      <w:bookmarkStart w:id="529" w:name="_Toc267261702"/>
      <w:bookmarkStart w:id="530" w:name="_Toc296503232"/>
      <w:bookmarkStart w:id="531" w:name="_Toc296944571"/>
      <w:bookmarkStart w:id="532" w:name="_Toc296891272"/>
      <w:r>
        <w:rPr>
          <w:rFonts w:ascii="宋体" w:hAnsi="宋体"/>
          <w:color w:val="auto"/>
          <w:sz w:val="24"/>
          <w:szCs w:val="24"/>
        </w:rPr>
        <w:t>件9 ：</w:t>
      </w:r>
    </w:p>
    <w:bookmarkEnd w:id="526"/>
    <w:bookmarkEnd w:id="527"/>
    <w:bookmarkEnd w:id="528"/>
    <w:bookmarkEnd w:id="529"/>
    <w:bookmarkEnd w:id="530"/>
    <w:bookmarkEnd w:id="531"/>
    <w:bookmarkEnd w:id="532"/>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预付款担保</w:t>
      </w:r>
    </w:p>
    <w:p>
      <w:pPr>
        <w:spacing w:line="360" w:lineRule="auto"/>
        <w:rPr>
          <w:rFonts w:ascii="宋体" w:hAnsi="宋体"/>
          <w:color w:val="auto"/>
          <w:sz w:val="21"/>
          <w:szCs w:val="21"/>
        </w:rPr>
      </w:pPr>
      <w:r>
        <w:rPr>
          <w:rFonts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ascii="宋体" w:hAnsi="宋体"/>
          <w:color w:val="auto"/>
          <w:sz w:val="21"/>
          <w:szCs w:val="21"/>
          <w:u w:val="single"/>
        </w:rPr>
        <w:t xml:space="preserve"> </w:t>
      </w:r>
      <w:r>
        <w:rPr>
          <w:rFonts w:ascii="宋体" w:hAnsi="宋体"/>
          <w:color w:val="auto"/>
          <w:sz w:val="21"/>
          <w:szCs w:val="21"/>
        </w:rPr>
        <w:t xml:space="preserve"> （发包人名称）：</w:t>
      </w:r>
    </w:p>
    <w:p>
      <w:pPr>
        <w:spacing w:line="360" w:lineRule="auto"/>
        <w:rPr>
          <w:rFonts w:ascii="宋体" w:hAnsi="宋体"/>
          <w:color w:val="auto"/>
          <w:sz w:val="21"/>
          <w:szCs w:val="21"/>
        </w:rPr>
      </w:pPr>
    </w:p>
    <w:p>
      <w:pPr>
        <w:spacing w:line="360" w:lineRule="auto"/>
        <w:ind w:firstLine="420" w:firstLineChars="200"/>
        <w:rPr>
          <w:rFonts w:ascii="宋体" w:hAnsi="宋体"/>
          <w:color w:val="auto"/>
          <w:sz w:val="21"/>
          <w:szCs w:val="21"/>
        </w:rPr>
      </w:pPr>
      <w:r>
        <w:rPr>
          <w:rFonts w:ascii="宋体" w:hAnsi="宋体"/>
          <w:color w:val="auto"/>
          <w:sz w:val="21"/>
          <w:szCs w:val="21"/>
        </w:rPr>
        <w:t>根据</w:t>
      </w:r>
      <w:r>
        <w:rPr>
          <w:rFonts w:ascii="宋体" w:hAnsi="宋体"/>
          <w:color w:val="auto"/>
          <w:sz w:val="21"/>
          <w:szCs w:val="21"/>
          <w:u w:val="single"/>
        </w:rPr>
        <w:t xml:space="preserve">                 </w:t>
      </w:r>
      <w:r>
        <w:rPr>
          <w:rFonts w:ascii="宋体" w:hAnsi="宋体"/>
          <w:color w:val="auto"/>
          <w:sz w:val="21"/>
          <w:szCs w:val="21"/>
        </w:rPr>
        <w:t>（承包人名称）（以下称</w:t>
      </w:r>
      <w:r>
        <w:rPr>
          <w:rFonts w:hint="eastAsia" w:ascii="宋体" w:hAnsi="宋体"/>
          <w:color w:val="auto"/>
          <w:sz w:val="21"/>
          <w:szCs w:val="21"/>
        </w:rPr>
        <w:t>“</w:t>
      </w:r>
      <w:r>
        <w:rPr>
          <w:rFonts w:ascii="宋体" w:hAnsi="宋体"/>
          <w:color w:val="auto"/>
          <w:sz w:val="21"/>
          <w:szCs w:val="21"/>
        </w:rPr>
        <w:t>承包人</w:t>
      </w:r>
      <w:r>
        <w:rPr>
          <w:rFonts w:hint="eastAsia" w:ascii="宋体" w:hAnsi="宋体"/>
          <w:color w:val="auto"/>
          <w:sz w:val="21"/>
          <w:szCs w:val="21"/>
        </w:rPr>
        <w:t>”</w:t>
      </w:r>
      <w:r>
        <w:rPr>
          <w:rFonts w:ascii="宋体" w:hAnsi="宋体"/>
          <w:color w:val="auto"/>
          <w:sz w:val="21"/>
          <w:szCs w:val="21"/>
        </w:rPr>
        <w:t>）与</w:t>
      </w:r>
    </w:p>
    <w:p>
      <w:pPr>
        <w:spacing w:line="360" w:lineRule="auto"/>
        <w:outlineLvl w:val="0"/>
        <w:rPr>
          <w:rFonts w:ascii="宋体" w:hAnsi="宋体"/>
          <w:color w:val="auto"/>
          <w:sz w:val="21"/>
          <w:szCs w:val="21"/>
        </w:rPr>
      </w:pPr>
      <w:r>
        <w:rPr>
          <w:rFonts w:ascii="宋体" w:hAnsi="宋体"/>
          <w:color w:val="auto"/>
          <w:sz w:val="21"/>
          <w:szCs w:val="21"/>
          <w:u w:val="single"/>
        </w:rPr>
        <w:t xml:space="preserve">                        </w:t>
      </w:r>
      <w:bookmarkStart w:id="533" w:name="_Toc160553154"/>
      <w:r>
        <w:rPr>
          <w:rFonts w:ascii="宋体" w:hAnsi="宋体"/>
          <w:color w:val="auto"/>
          <w:sz w:val="21"/>
          <w:szCs w:val="21"/>
        </w:rPr>
        <w:t>（发包人名称）（以下简称</w:t>
      </w:r>
      <w:r>
        <w:rPr>
          <w:rFonts w:hint="eastAsia" w:ascii="宋体" w:hAnsi="宋体"/>
          <w:color w:val="auto"/>
          <w:sz w:val="21"/>
          <w:szCs w:val="21"/>
        </w:rPr>
        <w:t>“</w:t>
      </w:r>
      <w:r>
        <w:rPr>
          <w:rFonts w:ascii="宋体" w:hAnsi="宋体"/>
          <w:color w:val="auto"/>
          <w:sz w:val="21"/>
          <w:szCs w:val="21"/>
        </w:rPr>
        <w:t>发包人</w:t>
      </w:r>
      <w:r>
        <w:rPr>
          <w:rFonts w:hint="eastAsia" w:ascii="宋体" w:hAnsi="宋体"/>
          <w:color w:val="auto"/>
          <w:sz w:val="21"/>
          <w:szCs w:val="21"/>
        </w:rPr>
        <w:t>”</w:t>
      </w:r>
      <w:r>
        <w:rPr>
          <w:rFonts w:ascii="宋体" w:hAnsi="宋体"/>
          <w:color w:val="auto"/>
          <w:sz w:val="21"/>
          <w:szCs w:val="21"/>
        </w:rPr>
        <w:t>）</w:t>
      </w:r>
      <w:bookmarkEnd w:id="533"/>
    </w:p>
    <w:p>
      <w:pPr>
        <w:spacing w:line="360" w:lineRule="auto"/>
        <w:rPr>
          <w:rFonts w:ascii="宋体" w:hAnsi="宋体"/>
          <w:color w:val="auto"/>
          <w:sz w:val="21"/>
          <w:szCs w:val="21"/>
        </w:rPr>
      </w:pPr>
      <w:r>
        <w:rPr>
          <w:rFonts w:ascii="宋体" w:hAnsi="宋体"/>
          <w:color w:val="auto"/>
          <w:sz w:val="21"/>
          <w:szCs w:val="21"/>
        </w:rPr>
        <w:t>于</w:t>
      </w:r>
      <w:r>
        <w:rPr>
          <w:rFonts w:ascii="宋体" w:hAnsi="宋体"/>
          <w:color w:val="auto"/>
          <w:sz w:val="21"/>
          <w:szCs w:val="21"/>
          <w:u w:val="single"/>
        </w:rPr>
        <w:t xml:space="preserve">     </w:t>
      </w:r>
      <w:r>
        <w:rPr>
          <w:rFonts w:ascii="宋体" w:hAnsi="宋体"/>
          <w:color w:val="auto"/>
          <w:sz w:val="21"/>
          <w:szCs w:val="21"/>
        </w:rPr>
        <w:t>年</w:t>
      </w:r>
      <w:r>
        <w:rPr>
          <w:rFonts w:ascii="宋体" w:hAnsi="宋体"/>
          <w:color w:val="auto"/>
          <w:sz w:val="21"/>
          <w:szCs w:val="21"/>
          <w:u w:val="single"/>
        </w:rPr>
        <w:t xml:space="preserve">    </w:t>
      </w:r>
      <w:r>
        <w:rPr>
          <w:rFonts w:ascii="宋体" w:hAnsi="宋体"/>
          <w:color w:val="auto"/>
          <w:sz w:val="21"/>
          <w:szCs w:val="21"/>
        </w:rPr>
        <w:t>月</w:t>
      </w:r>
      <w:r>
        <w:rPr>
          <w:rFonts w:ascii="宋体" w:hAnsi="宋体"/>
          <w:color w:val="auto"/>
          <w:sz w:val="21"/>
          <w:szCs w:val="21"/>
          <w:u w:val="single"/>
        </w:rPr>
        <w:t xml:space="preserve">    </w:t>
      </w:r>
      <w:r>
        <w:rPr>
          <w:rFonts w:ascii="宋体" w:hAnsi="宋体"/>
          <w:color w:val="auto"/>
          <w:sz w:val="21"/>
          <w:szCs w:val="21"/>
        </w:rPr>
        <w:t>日签订的</w:t>
      </w:r>
      <w:r>
        <w:rPr>
          <w:rFonts w:ascii="宋体" w:hAnsi="宋体"/>
          <w:color w:val="auto"/>
          <w:sz w:val="21"/>
          <w:szCs w:val="21"/>
          <w:u w:val="single"/>
        </w:rPr>
        <w:t xml:space="preserve">                   </w:t>
      </w:r>
      <w:r>
        <w:rPr>
          <w:rFonts w:ascii="宋体" w:hAnsi="宋体"/>
          <w:color w:val="auto"/>
          <w:sz w:val="21"/>
          <w:szCs w:val="21"/>
        </w:rPr>
        <w:t>（工程名称）《建设工程施工合同》，承包人按约定的金额向</w:t>
      </w:r>
      <w:r>
        <w:rPr>
          <w:rFonts w:hint="eastAsia" w:ascii="宋体" w:hAnsi="宋体"/>
          <w:color w:val="auto"/>
          <w:sz w:val="21"/>
          <w:szCs w:val="21"/>
        </w:rPr>
        <w:t>你方</w:t>
      </w:r>
      <w:r>
        <w:rPr>
          <w:rFonts w:ascii="宋体" w:hAnsi="宋体"/>
          <w:color w:val="auto"/>
          <w:sz w:val="21"/>
          <w:szCs w:val="21"/>
        </w:rPr>
        <w:t>提交一份预付款担保，即有权得到</w:t>
      </w:r>
      <w:r>
        <w:rPr>
          <w:rFonts w:hint="eastAsia" w:ascii="宋体" w:hAnsi="宋体"/>
          <w:color w:val="auto"/>
          <w:sz w:val="21"/>
          <w:szCs w:val="21"/>
        </w:rPr>
        <w:t>你方</w:t>
      </w:r>
      <w:r>
        <w:rPr>
          <w:rFonts w:ascii="宋体" w:hAnsi="宋体"/>
          <w:color w:val="auto"/>
          <w:sz w:val="21"/>
          <w:szCs w:val="21"/>
        </w:rPr>
        <w:t>支付相等金额的预付款。我方愿意就你方提供给承包人的预付款</w:t>
      </w:r>
      <w:r>
        <w:rPr>
          <w:rFonts w:hint="eastAsia" w:ascii="宋体" w:hAnsi="宋体"/>
          <w:color w:val="auto"/>
          <w:sz w:val="21"/>
          <w:szCs w:val="21"/>
        </w:rPr>
        <w:t>为承包人</w:t>
      </w:r>
      <w:r>
        <w:rPr>
          <w:rFonts w:ascii="宋体" w:hAnsi="宋体"/>
          <w:color w:val="auto"/>
          <w:sz w:val="21"/>
          <w:szCs w:val="21"/>
        </w:rPr>
        <w:t>提供连带责任担保。</w:t>
      </w:r>
    </w:p>
    <w:p>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1. </w:t>
      </w:r>
      <w:r>
        <w:rPr>
          <w:rFonts w:ascii="宋体" w:hAnsi="宋体"/>
          <w:color w:val="auto"/>
          <w:sz w:val="21"/>
          <w:szCs w:val="21"/>
        </w:rPr>
        <w:t>担保金额人民币（大写）</w:t>
      </w:r>
      <w:r>
        <w:rPr>
          <w:rFonts w:ascii="宋体" w:hAnsi="宋体"/>
          <w:color w:val="auto"/>
          <w:sz w:val="21"/>
          <w:szCs w:val="21"/>
          <w:u w:val="single"/>
        </w:rPr>
        <w:t xml:space="preserve">                </w:t>
      </w:r>
      <w:r>
        <w:rPr>
          <w:rFonts w:hint="eastAsia" w:ascii="宋体" w:hAnsi="宋体"/>
          <w:color w:val="auto"/>
          <w:sz w:val="21"/>
          <w:szCs w:val="21"/>
        </w:rPr>
        <w:t>元</w:t>
      </w:r>
      <w:r>
        <w:rPr>
          <w:rFonts w:ascii="宋体" w:hAnsi="宋体"/>
          <w:color w:val="auto"/>
          <w:sz w:val="21"/>
          <w:szCs w:val="21"/>
        </w:rPr>
        <w:t>（¥</w:t>
      </w:r>
      <w:r>
        <w:rPr>
          <w:rFonts w:ascii="宋体" w:hAnsi="宋体"/>
          <w:color w:val="auto"/>
          <w:sz w:val="21"/>
          <w:szCs w:val="21"/>
          <w:u w:val="single"/>
        </w:rPr>
        <w:t xml:space="preserve">             </w:t>
      </w:r>
      <w:r>
        <w:rPr>
          <w:rFonts w:ascii="宋体" w:hAnsi="宋体"/>
          <w:color w:val="auto"/>
          <w:sz w:val="21"/>
          <w:szCs w:val="21"/>
        </w:rPr>
        <w:t>）。</w:t>
      </w:r>
    </w:p>
    <w:p>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2. </w:t>
      </w:r>
      <w:r>
        <w:rPr>
          <w:rFonts w:ascii="宋体" w:hAnsi="宋体"/>
          <w:color w:val="auto"/>
          <w:sz w:val="21"/>
          <w:szCs w:val="21"/>
        </w:rPr>
        <w:t>担保有效期自预付款支付给承包人起生效，至</w:t>
      </w:r>
      <w:r>
        <w:rPr>
          <w:rFonts w:hint="eastAsia" w:ascii="宋体" w:hAnsi="宋体"/>
          <w:color w:val="auto"/>
          <w:sz w:val="21"/>
          <w:szCs w:val="21"/>
        </w:rPr>
        <w:t>你方</w:t>
      </w:r>
      <w:r>
        <w:rPr>
          <w:rFonts w:ascii="宋体" w:hAnsi="宋体"/>
          <w:color w:val="auto"/>
          <w:sz w:val="21"/>
          <w:szCs w:val="21"/>
        </w:rPr>
        <w:t>签发的</w:t>
      </w:r>
      <w:r>
        <w:rPr>
          <w:rFonts w:hint="eastAsia" w:ascii="宋体" w:hAnsi="宋体"/>
          <w:color w:val="auto"/>
          <w:sz w:val="21"/>
          <w:szCs w:val="21"/>
        </w:rPr>
        <w:t>进</w:t>
      </w:r>
      <w:r>
        <w:rPr>
          <w:rFonts w:ascii="宋体" w:hAnsi="宋体"/>
          <w:color w:val="auto"/>
          <w:sz w:val="21"/>
          <w:szCs w:val="21"/>
        </w:rPr>
        <w:t>度款支付证书说明已完全扣清止。</w:t>
      </w:r>
    </w:p>
    <w:p>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3. </w:t>
      </w:r>
      <w:r>
        <w:rPr>
          <w:rFonts w:ascii="宋体" w:hAnsi="宋体"/>
          <w:color w:val="auto"/>
          <w:sz w:val="21"/>
          <w:szCs w:val="21"/>
        </w:rPr>
        <w:t>在本保函有效期内，因承包人违反合同约定的义务而要求</w:t>
      </w:r>
      <w:r>
        <w:rPr>
          <w:rFonts w:hint="eastAsia" w:ascii="宋体" w:hAnsi="宋体"/>
          <w:color w:val="auto"/>
          <w:sz w:val="21"/>
          <w:szCs w:val="21"/>
        </w:rPr>
        <w:t>收</w:t>
      </w:r>
      <w:r>
        <w:rPr>
          <w:rFonts w:ascii="宋体" w:hAnsi="宋体"/>
          <w:color w:val="auto"/>
          <w:sz w:val="21"/>
          <w:szCs w:val="21"/>
        </w:rPr>
        <w:t>回预付款时，我方在收到你方的书面通知后，在７天内无条件支付。但本保函的担保金额，在任何时候不应超过预付款金额减去</w:t>
      </w:r>
      <w:r>
        <w:rPr>
          <w:rFonts w:hint="eastAsia" w:ascii="宋体" w:hAnsi="宋体"/>
          <w:color w:val="auto"/>
          <w:sz w:val="21"/>
          <w:szCs w:val="21"/>
        </w:rPr>
        <w:t>你方</w:t>
      </w:r>
      <w:r>
        <w:rPr>
          <w:rFonts w:ascii="宋体" w:hAnsi="宋体"/>
          <w:color w:val="auto"/>
          <w:sz w:val="21"/>
          <w:szCs w:val="21"/>
        </w:rPr>
        <w:t>按合同约定在向承包人签发的进度款支付证书中扣除的金额。</w:t>
      </w:r>
    </w:p>
    <w:p>
      <w:pPr>
        <w:spacing w:line="360" w:lineRule="auto"/>
        <w:ind w:firstLine="420" w:firstLineChars="200"/>
        <w:rPr>
          <w:rFonts w:hint="eastAsia" w:ascii="宋体" w:hAnsi="宋体"/>
          <w:color w:val="auto"/>
          <w:sz w:val="21"/>
          <w:szCs w:val="21"/>
        </w:rPr>
      </w:pPr>
      <w:r>
        <w:rPr>
          <w:rFonts w:hint="eastAsia" w:ascii="宋体" w:hAnsi="宋体"/>
          <w:color w:val="auto"/>
          <w:sz w:val="21"/>
          <w:szCs w:val="21"/>
        </w:rPr>
        <w:t>4. 你方</w:t>
      </w:r>
      <w:r>
        <w:rPr>
          <w:rFonts w:ascii="宋体" w:hAnsi="宋体"/>
          <w:color w:val="auto"/>
          <w:sz w:val="21"/>
          <w:szCs w:val="21"/>
        </w:rPr>
        <w:t>和承包人按合同约定变更合同时，我方承担本保函规定的义务不变。</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5. </w:t>
      </w:r>
      <w:r>
        <w:rPr>
          <w:rFonts w:ascii="宋体" w:hAnsi="宋体"/>
          <w:color w:val="auto"/>
          <w:sz w:val="21"/>
          <w:szCs w:val="21"/>
        </w:rPr>
        <w:t>因本保函发生的纠纷，可由双方协商解决，协商不成的，任何一方均可提请</w:t>
      </w:r>
      <w:r>
        <w:rPr>
          <w:rFonts w:hint="eastAsia" w:ascii="宋体" w:hAnsi="宋体"/>
          <w:color w:val="auto"/>
          <w:sz w:val="21"/>
          <w:szCs w:val="21"/>
        </w:rPr>
        <w:t>工程所在地人民法院诉讼</w:t>
      </w:r>
      <w:r>
        <w:rPr>
          <w:rFonts w:ascii="宋体" w:hAnsi="宋体"/>
          <w:color w:val="auto"/>
          <w:sz w:val="21"/>
          <w:szCs w:val="21"/>
        </w:rPr>
        <w:t>。</w:t>
      </w:r>
    </w:p>
    <w:p>
      <w:pPr>
        <w:spacing w:line="360" w:lineRule="auto"/>
        <w:ind w:firstLine="420" w:firstLineChars="200"/>
        <w:jc w:val="left"/>
        <w:rPr>
          <w:rFonts w:hint="eastAsia" w:ascii="宋体" w:hAnsi="宋体"/>
          <w:color w:val="auto"/>
          <w:sz w:val="21"/>
          <w:szCs w:val="21"/>
        </w:rPr>
      </w:pPr>
      <w:r>
        <w:rPr>
          <w:rFonts w:hint="eastAsia" w:ascii="宋体" w:hAnsi="宋体"/>
          <w:color w:val="auto"/>
          <w:sz w:val="21"/>
          <w:szCs w:val="21"/>
        </w:rPr>
        <w:t xml:space="preserve">6. </w:t>
      </w:r>
      <w:r>
        <w:rPr>
          <w:rFonts w:ascii="宋体" w:hAnsi="宋体"/>
          <w:color w:val="auto"/>
          <w:sz w:val="21"/>
          <w:szCs w:val="21"/>
        </w:rPr>
        <w:t>本保函自我方法定代表人（或其授权代理人）签字加盖公章之日起生效。</w:t>
      </w:r>
    </w:p>
    <w:p>
      <w:pPr>
        <w:spacing w:line="360" w:lineRule="auto"/>
        <w:rPr>
          <w:rFonts w:hint="eastAsia" w:ascii="宋体" w:hAnsi="宋体"/>
          <w:color w:val="auto"/>
          <w:sz w:val="21"/>
          <w:szCs w:val="21"/>
        </w:rPr>
      </w:pPr>
    </w:p>
    <w:p>
      <w:pPr>
        <w:spacing w:line="360" w:lineRule="auto"/>
        <w:rPr>
          <w:rFonts w:ascii="宋体" w:hAnsi="宋体"/>
          <w:color w:val="auto"/>
          <w:sz w:val="21"/>
          <w:szCs w:val="21"/>
        </w:rPr>
      </w:pPr>
      <w:r>
        <w:rPr>
          <w:rFonts w:ascii="宋体" w:hAnsi="宋体"/>
          <w:color w:val="auto"/>
          <w:sz w:val="21"/>
          <w:szCs w:val="21"/>
        </w:rPr>
        <w:t>担保人：</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（盖单位章）</w:t>
      </w:r>
    </w:p>
    <w:p>
      <w:pPr>
        <w:spacing w:line="360" w:lineRule="auto"/>
        <w:rPr>
          <w:rFonts w:ascii="宋体" w:hAnsi="宋体"/>
          <w:color w:val="auto"/>
          <w:sz w:val="21"/>
          <w:szCs w:val="21"/>
        </w:rPr>
      </w:pPr>
      <w:r>
        <w:rPr>
          <w:rFonts w:ascii="宋体" w:hAnsi="宋体"/>
          <w:color w:val="auto"/>
          <w:sz w:val="21"/>
          <w:szCs w:val="21"/>
        </w:rPr>
        <w:t>法定代表人或其委托代理人：</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ascii="宋体" w:hAnsi="宋体"/>
          <w:color w:val="auto"/>
          <w:sz w:val="21"/>
          <w:szCs w:val="21"/>
        </w:rPr>
        <w:t>（签字）</w:t>
      </w:r>
    </w:p>
    <w:p>
      <w:pPr>
        <w:spacing w:line="360" w:lineRule="auto"/>
        <w:rPr>
          <w:rFonts w:ascii="宋体" w:hAnsi="宋体"/>
          <w:color w:val="auto"/>
          <w:sz w:val="21"/>
          <w:szCs w:val="21"/>
        </w:rPr>
      </w:pPr>
      <w:r>
        <w:rPr>
          <w:rFonts w:ascii="宋体" w:hAnsi="宋体"/>
          <w:color w:val="auto"/>
          <w:sz w:val="21"/>
          <w:szCs w:val="21"/>
        </w:rPr>
        <w:t>地    址：</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ascii="宋体" w:hAnsi="宋体"/>
          <w:color w:val="auto"/>
          <w:sz w:val="21"/>
          <w:szCs w:val="21"/>
          <w:u w:val="single"/>
        </w:rPr>
        <w:tab/>
      </w:r>
    </w:p>
    <w:p>
      <w:pPr>
        <w:spacing w:line="360" w:lineRule="auto"/>
        <w:rPr>
          <w:rFonts w:ascii="宋体" w:hAnsi="宋体"/>
          <w:color w:val="auto"/>
          <w:sz w:val="21"/>
          <w:szCs w:val="21"/>
          <w:u w:val="single"/>
        </w:rPr>
      </w:pPr>
      <w:r>
        <w:rPr>
          <w:rFonts w:ascii="宋体" w:hAnsi="宋体"/>
          <w:color w:val="auto"/>
          <w:sz w:val="21"/>
          <w:szCs w:val="21"/>
        </w:rPr>
        <w:t>邮政编码：</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ascii="宋体" w:hAnsi="宋体"/>
          <w:color w:val="auto"/>
          <w:sz w:val="21"/>
          <w:szCs w:val="21"/>
          <w:u w:val="single"/>
        </w:rPr>
        <w:tab/>
      </w:r>
    </w:p>
    <w:p>
      <w:pPr>
        <w:spacing w:line="360" w:lineRule="auto"/>
        <w:rPr>
          <w:rFonts w:ascii="宋体" w:hAnsi="宋体"/>
          <w:color w:val="auto"/>
          <w:sz w:val="21"/>
          <w:szCs w:val="21"/>
          <w:u w:val="single"/>
        </w:rPr>
      </w:pPr>
      <w:r>
        <w:rPr>
          <w:rFonts w:ascii="宋体" w:hAnsi="宋体"/>
          <w:color w:val="auto"/>
          <w:sz w:val="21"/>
          <w:szCs w:val="21"/>
        </w:rPr>
        <w:t>电    话：</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ascii="宋体" w:hAnsi="宋体"/>
          <w:color w:val="auto"/>
          <w:sz w:val="21"/>
          <w:szCs w:val="21"/>
          <w:u w:val="single"/>
        </w:rPr>
        <w:tab/>
      </w:r>
    </w:p>
    <w:p>
      <w:pPr>
        <w:spacing w:line="360" w:lineRule="auto"/>
        <w:rPr>
          <w:rFonts w:ascii="宋体" w:hAnsi="宋体"/>
          <w:color w:val="auto"/>
          <w:sz w:val="21"/>
          <w:szCs w:val="21"/>
          <w:u w:val="single"/>
        </w:rPr>
      </w:pPr>
      <w:r>
        <w:rPr>
          <w:rFonts w:ascii="宋体" w:hAnsi="宋体"/>
          <w:color w:val="auto"/>
          <w:sz w:val="21"/>
          <w:szCs w:val="21"/>
        </w:rPr>
        <w:t>传    真：</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hint="eastAsia" w:ascii="宋体" w:hAnsi="宋体"/>
          <w:color w:val="auto"/>
          <w:sz w:val="21"/>
          <w:szCs w:val="21"/>
          <w:u w:val="single"/>
        </w:rPr>
        <w:t xml:space="preserve">                   </w:t>
      </w:r>
      <w:r>
        <w:rPr>
          <w:rFonts w:ascii="宋体" w:hAnsi="宋体"/>
          <w:color w:val="auto"/>
          <w:sz w:val="21"/>
          <w:szCs w:val="21"/>
          <w:u w:val="single"/>
        </w:rPr>
        <w:tab/>
      </w:r>
      <w:r>
        <w:rPr>
          <w:rFonts w:ascii="宋体" w:hAnsi="宋体"/>
          <w:color w:val="auto"/>
          <w:sz w:val="21"/>
          <w:szCs w:val="21"/>
          <w:u w:val="single"/>
        </w:rPr>
        <w:tab/>
      </w:r>
      <w:r>
        <w:rPr>
          <w:rFonts w:ascii="宋体" w:hAnsi="宋体"/>
          <w:color w:val="auto"/>
          <w:sz w:val="21"/>
          <w:szCs w:val="21"/>
          <w:u w:val="single"/>
        </w:rPr>
        <w:tab/>
      </w:r>
    </w:p>
    <w:p>
      <w:pPr>
        <w:spacing w:line="360" w:lineRule="auto"/>
        <w:rPr>
          <w:rFonts w:hint="eastAsia" w:ascii="宋体" w:hAnsi="宋体"/>
          <w:color w:val="auto"/>
          <w:sz w:val="21"/>
          <w:szCs w:val="21"/>
          <w:u w:val="single"/>
        </w:rPr>
      </w:pPr>
    </w:p>
    <w:p>
      <w:pPr>
        <w:spacing w:line="360" w:lineRule="auto"/>
        <w:rPr>
          <w:rFonts w:ascii="宋体" w:hAnsi="宋体"/>
          <w:color w:val="auto"/>
          <w:sz w:val="21"/>
          <w:szCs w:val="21"/>
        </w:rPr>
      </w:pPr>
      <w:r>
        <w:rPr>
          <w:rFonts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年</w:t>
      </w:r>
      <w:r>
        <w:rPr>
          <w:rFonts w:ascii="宋体" w:hAnsi="宋体"/>
          <w:color w:val="auto"/>
          <w:sz w:val="21"/>
          <w:szCs w:val="21"/>
          <w:u w:val="single"/>
        </w:rPr>
        <w:t xml:space="preserve">      </w:t>
      </w:r>
      <w:r>
        <w:rPr>
          <w:rFonts w:ascii="宋体" w:hAnsi="宋体"/>
          <w:color w:val="auto"/>
          <w:sz w:val="21"/>
          <w:szCs w:val="21"/>
        </w:rPr>
        <w:t>月</w:t>
      </w:r>
      <w:r>
        <w:rPr>
          <w:rFonts w:ascii="宋体" w:hAnsi="宋体"/>
          <w:color w:val="auto"/>
          <w:sz w:val="21"/>
          <w:szCs w:val="21"/>
          <w:u w:val="single"/>
        </w:rPr>
        <w:t xml:space="preserve">      </w:t>
      </w:r>
      <w:r>
        <w:rPr>
          <w:rFonts w:ascii="宋体" w:hAnsi="宋体"/>
          <w:color w:val="auto"/>
          <w:sz w:val="21"/>
          <w:szCs w:val="21"/>
        </w:rPr>
        <w:t>日</w:t>
      </w:r>
    </w:p>
    <w:p>
      <w:pPr>
        <w:spacing w:line="440" w:lineRule="exact"/>
        <w:rPr>
          <w:rFonts w:ascii="宋体" w:hAnsi="宋体"/>
          <w:color w:val="auto"/>
          <w:sz w:val="24"/>
          <w:szCs w:val="24"/>
        </w:rPr>
      </w:pPr>
      <w:r>
        <w:rPr>
          <w:rFonts w:ascii="宋体" w:hAnsi="宋体"/>
          <w:b/>
          <w:color w:val="auto"/>
          <w:sz w:val="24"/>
          <w:szCs w:val="24"/>
        </w:rPr>
        <w:br w:type="page"/>
      </w:r>
      <w:r>
        <w:rPr>
          <w:rFonts w:ascii="宋体" w:hAnsi="宋体"/>
          <w:color w:val="auto"/>
          <w:sz w:val="24"/>
          <w:szCs w:val="24"/>
        </w:rPr>
        <w:t>附</w:t>
      </w:r>
      <w:bookmarkStart w:id="534" w:name="_Toc296503233"/>
      <w:bookmarkStart w:id="535" w:name="_Toc296347232"/>
      <w:bookmarkStart w:id="536" w:name="_Toc296891061"/>
      <w:bookmarkStart w:id="537" w:name="_Toc296346734"/>
      <w:bookmarkStart w:id="538" w:name="_Toc296944572"/>
      <w:bookmarkStart w:id="539" w:name="_Toc296891273"/>
      <w:r>
        <w:rPr>
          <w:rFonts w:ascii="宋体" w:hAnsi="宋体"/>
          <w:color w:val="auto"/>
          <w:sz w:val="24"/>
          <w:szCs w:val="24"/>
        </w:rPr>
        <w:t xml:space="preserve">件10:  </w:t>
      </w:r>
    </w:p>
    <w:bookmarkEnd w:id="534"/>
    <w:bookmarkEnd w:id="535"/>
    <w:bookmarkEnd w:id="536"/>
    <w:bookmarkEnd w:id="537"/>
    <w:bookmarkEnd w:id="538"/>
    <w:bookmarkEnd w:id="539"/>
    <w:p>
      <w:pPr>
        <w:spacing w:before="156" w:beforeLines="50" w:after="156" w:afterLines="50" w:line="440" w:lineRule="exact"/>
        <w:jc w:val="center"/>
        <w:rPr>
          <w:rFonts w:ascii="宋体" w:hAnsi="宋体"/>
          <w:b/>
          <w:bCs/>
          <w:color w:val="auto"/>
          <w:sz w:val="36"/>
          <w:szCs w:val="36"/>
        </w:rPr>
      </w:pPr>
      <w:r>
        <w:rPr>
          <w:rFonts w:ascii="宋体" w:hAnsi="宋体"/>
          <w:b/>
          <w:bCs/>
          <w:color w:val="auto"/>
          <w:sz w:val="36"/>
          <w:szCs w:val="36"/>
        </w:rPr>
        <w:t>支付担保</w:t>
      </w:r>
    </w:p>
    <w:p>
      <w:pPr>
        <w:spacing w:line="440" w:lineRule="exact"/>
        <w:jc w:val="left"/>
        <w:rPr>
          <w:rFonts w:ascii="宋体" w:hAnsi="宋体"/>
          <w:color w:val="auto"/>
          <w:sz w:val="21"/>
          <w:szCs w:val="21"/>
        </w:rPr>
      </w:pPr>
      <w:r>
        <w:rPr>
          <w:rFonts w:ascii="宋体" w:hAnsi="宋体"/>
          <w:color w:val="auto"/>
          <w:sz w:val="21"/>
          <w:szCs w:val="21"/>
          <w:u w:val="single"/>
        </w:rPr>
        <w:t xml:space="preserve">             </w:t>
      </w:r>
      <w:r>
        <w:rPr>
          <w:rFonts w:ascii="宋体" w:hAnsi="宋体"/>
          <w:color w:val="auto"/>
          <w:sz w:val="21"/>
          <w:szCs w:val="21"/>
        </w:rPr>
        <w:t>（承包人）：</w:t>
      </w:r>
    </w:p>
    <w:p>
      <w:pPr>
        <w:spacing w:line="440" w:lineRule="exact"/>
        <w:jc w:val="left"/>
        <w:rPr>
          <w:rFonts w:ascii="宋体" w:hAnsi="宋体"/>
          <w:color w:val="auto"/>
          <w:sz w:val="21"/>
          <w:szCs w:val="21"/>
        </w:rPr>
      </w:pPr>
    </w:p>
    <w:p>
      <w:pPr>
        <w:spacing w:line="360" w:lineRule="auto"/>
        <w:ind w:firstLine="420" w:firstLineChars="200"/>
        <w:jc w:val="left"/>
        <w:rPr>
          <w:rFonts w:ascii="宋体" w:hAnsi="宋体"/>
          <w:color w:val="auto"/>
          <w:sz w:val="21"/>
          <w:szCs w:val="21"/>
        </w:rPr>
      </w:pPr>
      <w:r>
        <w:rPr>
          <w:rFonts w:ascii="宋体" w:hAnsi="宋体"/>
          <w:color w:val="auto"/>
          <w:sz w:val="21"/>
          <w:szCs w:val="21"/>
        </w:rPr>
        <w:t>鉴于你方作为承包人已经与</w:t>
      </w:r>
      <w:r>
        <w:rPr>
          <w:rFonts w:ascii="宋体" w:hAnsi="宋体"/>
          <w:color w:val="auto"/>
          <w:sz w:val="21"/>
          <w:szCs w:val="21"/>
          <w:u w:val="single"/>
        </w:rPr>
        <w:t xml:space="preserve">             </w:t>
      </w:r>
      <w:r>
        <w:rPr>
          <w:rFonts w:ascii="宋体" w:hAnsi="宋体"/>
          <w:color w:val="auto"/>
          <w:sz w:val="21"/>
          <w:szCs w:val="21"/>
        </w:rPr>
        <w:t>（发包人名称）（以下称</w:t>
      </w:r>
      <w:r>
        <w:rPr>
          <w:rFonts w:hint="eastAsia" w:ascii="宋体" w:hAnsi="宋体"/>
          <w:color w:val="auto"/>
          <w:sz w:val="21"/>
          <w:szCs w:val="21"/>
        </w:rPr>
        <w:t>“</w:t>
      </w:r>
      <w:r>
        <w:rPr>
          <w:rFonts w:ascii="宋体" w:hAnsi="宋体"/>
          <w:color w:val="auto"/>
          <w:sz w:val="21"/>
          <w:szCs w:val="21"/>
        </w:rPr>
        <w:t>发包人</w:t>
      </w:r>
      <w:r>
        <w:rPr>
          <w:rFonts w:hint="eastAsia" w:ascii="宋体" w:hAnsi="宋体"/>
          <w:color w:val="auto"/>
          <w:sz w:val="21"/>
          <w:szCs w:val="21"/>
        </w:rPr>
        <w:t>”</w:t>
      </w:r>
      <w:r>
        <w:rPr>
          <w:rFonts w:ascii="宋体" w:hAnsi="宋体"/>
          <w:color w:val="auto"/>
          <w:sz w:val="21"/>
          <w:szCs w:val="21"/>
        </w:rPr>
        <w:t>）于</w:t>
      </w:r>
      <w:r>
        <w:rPr>
          <w:rFonts w:ascii="宋体" w:hAnsi="宋体"/>
          <w:color w:val="auto"/>
          <w:sz w:val="21"/>
          <w:szCs w:val="21"/>
          <w:u w:val="single"/>
        </w:rPr>
        <w:t xml:space="preserve">   </w:t>
      </w:r>
      <w:r>
        <w:rPr>
          <w:rFonts w:ascii="宋体" w:hAnsi="宋体"/>
          <w:color w:val="auto"/>
          <w:sz w:val="21"/>
          <w:szCs w:val="21"/>
        </w:rPr>
        <w:t>年</w:t>
      </w:r>
      <w:r>
        <w:rPr>
          <w:rFonts w:ascii="宋体" w:hAnsi="宋体"/>
          <w:color w:val="auto"/>
          <w:sz w:val="21"/>
          <w:szCs w:val="21"/>
          <w:u w:val="single"/>
        </w:rPr>
        <w:t xml:space="preserve">   </w:t>
      </w:r>
      <w:r>
        <w:rPr>
          <w:rFonts w:ascii="宋体" w:hAnsi="宋体"/>
          <w:color w:val="auto"/>
          <w:sz w:val="21"/>
          <w:szCs w:val="21"/>
        </w:rPr>
        <w:t>月</w:t>
      </w:r>
      <w:r>
        <w:rPr>
          <w:rFonts w:ascii="宋体" w:hAnsi="宋体"/>
          <w:color w:val="auto"/>
          <w:sz w:val="21"/>
          <w:szCs w:val="21"/>
          <w:u w:val="single"/>
        </w:rPr>
        <w:t xml:space="preserve">    </w:t>
      </w:r>
      <w:r>
        <w:rPr>
          <w:rFonts w:ascii="宋体" w:hAnsi="宋体"/>
          <w:color w:val="auto"/>
          <w:sz w:val="21"/>
          <w:szCs w:val="21"/>
        </w:rPr>
        <w:t>日签订了</w:t>
      </w:r>
      <w:r>
        <w:rPr>
          <w:rFonts w:ascii="宋体" w:hAnsi="宋体"/>
          <w:color w:val="auto"/>
          <w:sz w:val="21"/>
          <w:szCs w:val="21"/>
          <w:u w:val="single"/>
        </w:rPr>
        <w:t xml:space="preserve">             </w:t>
      </w:r>
      <w:r>
        <w:rPr>
          <w:rFonts w:ascii="宋体" w:hAnsi="宋体"/>
          <w:color w:val="auto"/>
          <w:sz w:val="21"/>
          <w:szCs w:val="21"/>
        </w:rPr>
        <w:t>（工程名称）《建设工程施工合同》（以下称</w:t>
      </w:r>
      <w:r>
        <w:rPr>
          <w:rFonts w:hint="eastAsia" w:ascii="宋体" w:hAnsi="宋体"/>
          <w:color w:val="auto"/>
          <w:sz w:val="21"/>
          <w:szCs w:val="21"/>
        </w:rPr>
        <w:t>“</w:t>
      </w:r>
      <w:r>
        <w:rPr>
          <w:rFonts w:ascii="宋体" w:hAnsi="宋体"/>
          <w:color w:val="auto"/>
          <w:sz w:val="21"/>
          <w:szCs w:val="21"/>
        </w:rPr>
        <w:t>主合同</w:t>
      </w:r>
      <w:r>
        <w:rPr>
          <w:rFonts w:hint="eastAsia" w:ascii="宋体" w:hAnsi="宋体"/>
          <w:color w:val="auto"/>
          <w:sz w:val="21"/>
          <w:szCs w:val="21"/>
        </w:rPr>
        <w:t>”</w:t>
      </w:r>
      <w:r>
        <w:rPr>
          <w:rFonts w:ascii="宋体" w:hAnsi="宋体"/>
          <w:color w:val="auto"/>
          <w:sz w:val="21"/>
          <w:szCs w:val="21"/>
        </w:rPr>
        <w:t>），应发包人的申请，我方愿就发包人履行主合同约定的工程款支付义务以保证的方式向你方提供如下担保：</w:t>
      </w:r>
    </w:p>
    <w:p>
      <w:pPr>
        <w:spacing w:line="360" w:lineRule="auto"/>
        <w:ind w:firstLine="420" w:firstLineChars="200"/>
        <w:jc w:val="left"/>
        <w:outlineLvl w:val="0"/>
        <w:rPr>
          <w:rFonts w:ascii="宋体" w:hAnsi="宋体"/>
          <w:color w:val="auto"/>
          <w:sz w:val="21"/>
          <w:szCs w:val="21"/>
        </w:rPr>
      </w:pPr>
      <w:bookmarkStart w:id="540" w:name="_Toc160553155"/>
      <w:r>
        <w:rPr>
          <w:rFonts w:ascii="宋体" w:hAnsi="宋体"/>
          <w:color w:val="auto"/>
          <w:sz w:val="21"/>
          <w:szCs w:val="21"/>
        </w:rPr>
        <w:t>一、保证的范围及保证金额</w:t>
      </w:r>
      <w:bookmarkEnd w:id="540"/>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1. </w:t>
      </w:r>
      <w:r>
        <w:rPr>
          <w:rFonts w:ascii="宋体" w:hAnsi="宋体"/>
          <w:color w:val="auto"/>
          <w:sz w:val="21"/>
          <w:szCs w:val="21"/>
        </w:rPr>
        <w:t>我方的保证范围是主合同约定的工程款。</w:t>
      </w:r>
    </w:p>
    <w:p>
      <w:pPr>
        <w:spacing w:line="360" w:lineRule="auto"/>
        <w:ind w:firstLine="420" w:firstLineChars="200"/>
        <w:jc w:val="left"/>
        <w:rPr>
          <w:rFonts w:hint="eastAsia" w:ascii="宋体" w:hAnsi="宋体"/>
          <w:color w:val="auto"/>
          <w:sz w:val="21"/>
          <w:szCs w:val="21"/>
        </w:rPr>
      </w:pPr>
      <w:r>
        <w:rPr>
          <w:rFonts w:hint="eastAsia" w:ascii="宋体" w:hAnsi="宋体"/>
          <w:color w:val="auto"/>
          <w:sz w:val="21"/>
          <w:szCs w:val="21"/>
        </w:rPr>
        <w:t xml:space="preserve">2. </w:t>
      </w:r>
      <w:r>
        <w:rPr>
          <w:rFonts w:ascii="宋体" w:hAnsi="宋体"/>
          <w:color w:val="auto"/>
          <w:sz w:val="21"/>
          <w:szCs w:val="21"/>
        </w:rPr>
        <w:t>本保函所称主合同约定的工程款是指主合同约定的除工程质量保证金以外的合同价款。</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3. </w:t>
      </w:r>
      <w:r>
        <w:rPr>
          <w:rFonts w:ascii="宋体" w:hAnsi="宋体"/>
          <w:color w:val="auto"/>
          <w:sz w:val="21"/>
          <w:szCs w:val="21"/>
        </w:rPr>
        <w:t>我方保证的金额是主合同约定的工程款的</w:t>
      </w:r>
      <w:r>
        <w:rPr>
          <w:rFonts w:ascii="宋体" w:hAnsi="宋体"/>
          <w:color w:val="auto"/>
          <w:sz w:val="21"/>
          <w:szCs w:val="21"/>
          <w:u w:val="single"/>
        </w:rPr>
        <w:t xml:space="preserve">      </w:t>
      </w:r>
      <w:r>
        <w:rPr>
          <w:rFonts w:ascii="宋体" w:hAnsi="宋体"/>
          <w:color w:val="auto"/>
          <w:sz w:val="21"/>
          <w:szCs w:val="21"/>
        </w:rPr>
        <w:t>%，数额最高不超过人民币元（大写：</w:t>
      </w:r>
      <w:r>
        <w:rPr>
          <w:rFonts w:ascii="宋体" w:hAnsi="宋体"/>
          <w:color w:val="auto"/>
          <w:sz w:val="21"/>
          <w:szCs w:val="21"/>
          <w:u w:val="single"/>
        </w:rPr>
        <w:t xml:space="preserve">        </w:t>
      </w:r>
      <w:r>
        <w:rPr>
          <w:rFonts w:ascii="宋体" w:hAnsi="宋体"/>
          <w:color w:val="auto"/>
          <w:sz w:val="21"/>
          <w:szCs w:val="21"/>
        </w:rPr>
        <w:t>）。</w:t>
      </w:r>
    </w:p>
    <w:p>
      <w:pPr>
        <w:spacing w:line="360" w:lineRule="auto"/>
        <w:ind w:firstLine="420" w:firstLineChars="200"/>
        <w:jc w:val="left"/>
        <w:outlineLvl w:val="0"/>
        <w:rPr>
          <w:rFonts w:ascii="宋体" w:hAnsi="宋体"/>
          <w:color w:val="auto"/>
          <w:sz w:val="21"/>
          <w:szCs w:val="21"/>
        </w:rPr>
      </w:pPr>
      <w:bookmarkStart w:id="541" w:name="_Toc160553156"/>
      <w:r>
        <w:rPr>
          <w:rFonts w:ascii="宋体" w:hAnsi="宋体"/>
          <w:color w:val="auto"/>
          <w:sz w:val="21"/>
          <w:szCs w:val="21"/>
        </w:rPr>
        <w:t>二、保证的方式及保证期间</w:t>
      </w:r>
      <w:bookmarkEnd w:id="541"/>
    </w:p>
    <w:p>
      <w:pPr>
        <w:spacing w:line="360" w:lineRule="auto"/>
        <w:ind w:firstLine="420" w:firstLineChars="200"/>
        <w:jc w:val="left"/>
        <w:rPr>
          <w:rFonts w:hint="eastAsia" w:ascii="宋体" w:hAnsi="宋体"/>
          <w:color w:val="auto"/>
          <w:sz w:val="21"/>
          <w:szCs w:val="21"/>
        </w:rPr>
      </w:pPr>
      <w:r>
        <w:rPr>
          <w:rFonts w:hint="eastAsia" w:ascii="宋体" w:hAnsi="宋体"/>
          <w:color w:val="auto"/>
          <w:sz w:val="21"/>
          <w:szCs w:val="21"/>
        </w:rPr>
        <w:t xml:space="preserve">1. </w:t>
      </w:r>
      <w:r>
        <w:rPr>
          <w:rFonts w:ascii="宋体" w:hAnsi="宋体"/>
          <w:color w:val="auto"/>
          <w:sz w:val="21"/>
          <w:szCs w:val="21"/>
        </w:rPr>
        <w:t>我方保证的方式为：连带责任保证。</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2. </w:t>
      </w:r>
      <w:r>
        <w:rPr>
          <w:rFonts w:ascii="宋体" w:hAnsi="宋体"/>
          <w:color w:val="auto"/>
          <w:sz w:val="21"/>
          <w:szCs w:val="21"/>
        </w:rPr>
        <w:t>我方保证的期间为：自本合同生效之日起至主合同约定的工程款支付完毕之日后</w:t>
      </w:r>
      <w:r>
        <w:rPr>
          <w:rFonts w:ascii="宋体" w:hAnsi="宋体"/>
          <w:color w:val="auto"/>
          <w:sz w:val="21"/>
          <w:szCs w:val="21"/>
          <w:u w:val="single"/>
        </w:rPr>
        <w:t xml:space="preserve">    </w:t>
      </w:r>
      <w:r>
        <w:rPr>
          <w:rFonts w:ascii="宋体" w:hAnsi="宋体"/>
          <w:color w:val="auto"/>
          <w:sz w:val="21"/>
          <w:szCs w:val="21"/>
        </w:rPr>
        <w:t>日内。</w:t>
      </w:r>
    </w:p>
    <w:p>
      <w:pPr>
        <w:spacing w:line="360" w:lineRule="auto"/>
        <w:ind w:firstLine="420" w:firstLineChars="200"/>
        <w:jc w:val="left"/>
        <w:rPr>
          <w:rFonts w:hint="eastAsia" w:ascii="宋体" w:hAnsi="宋体"/>
          <w:color w:val="auto"/>
          <w:sz w:val="21"/>
          <w:szCs w:val="21"/>
        </w:rPr>
      </w:pPr>
      <w:r>
        <w:rPr>
          <w:rFonts w:hint="eastAsia" w:ascii="宋体" w:hAnsi="宋体"/>
          <w:color w:val="auto"/>
          <w:sz w:val="21"/>
          <w:szCs w:val="21"/>
        </w:rPr>
        <w:t xml:space="preserve">3. </w:t>
      </w:r>
      <w:r>
        <w:rPr>
          <w:rFonts w:ascii="宋体" w:hAnsi="宋体"/>
          <w:color w:val="auto"/>
          <w:sz w:val="21"/>
          <w:szCs w:val="21"/>
        </w:rPr>
        <w:t>你方与发包人协议变更工程款支付日期的，经我方书面同意后，保证期间按照变更后的支付日期做相应调整。</w:t>
      </w:r>
    </w:p>
    <w:p>
      <w:pPr>
        <w:spacing w:line="360" w:lineRule="auto"/>
        <w:ind w:firstLine="420" w:firstLineChars="200"/>
        <w:jc w:val="left"/>
        <w:outlineLvl w:val="0"/>
        <w:rPr>
          <w:rFonts w:ascii="宋体" w:hAnsi="宋体"/>
          <w:color w:val="auto"/>
          <w:sz w:val="21"/>
          <w:szCs w:val="21"/>
        </w:rPr>
      </w:pPr>
      <w:bookmarkStart w:id="542" w:name="_Toc160553157"/>
      <w:r>
        <w:rPr>
          <w:rFonts w:ascii="宋体" w:hAnsi="宋体"/>
          <w:color w:val="auto"/>
          <w:sz w:val="21"/>
          <w:szCs w:val="21"/>
        </w:rPr>
        <w:t>三、承担保证责任的形式</w:t>
      </w:r>
      <w:bookmarkEnd w:id="542"/>
    </w:p>
    <w:p>
      <w:pPr>
        <w:spacing w:line="360" w:lineRule="auto"/>
        <w:ind w:firstLine="420" w:firstLineChars="200"/>
        <w:jc w:val="left"/>
        <w:rPr>
          <w:rFonts w:ascii="宋体" w:hAnsi="宋体"/>
          <w:color w:val="auto"/>
          <w:sz w:val="21"/>
          <w:szCs w:val="21"/>
        </w:rPr>
      </w:pPr>
      <w:r>
        <w:rPr>
          <w:rFonts w:ascii="宋体" w:hAnsi="宋体"/>
          <w:color w:val="auto"/>
          <w:sz w:val="21"/>
          <w:szCs w:val="21"/>
        </w:rPr>
        <w:t>我方承担保证责任的形式是代为支付。发包人未按主合同约定向你方支付工程款的，由我方在保证金额内代为支付。</w:t>
      </w:r>
    </w:p>
    <w:p>
      <w:pPr>
        <w:spacing w:line="360" w:lineRule="auto"/>
        <w:ind w:firstLine="420" w:firstLineChars="200"/>
        <w:jc w:val="left"/>
        <w:outlineLvl w:val="0"/>
        <w:rPr>
          <w:rFonts w:ascii="宋体" w:hAnsi="宋体"/>
          <w:color w:val="auto"/>
          <w:sz w:val="21"/>
          <w:szCs w:val="21"/>
        </w:rPr>
      </w:pPr>
      <w:bookmarkStart w:id="543" w:name="_Toc160553158"/>
      <w:r>
        <w:rPr>
          <w:rFonts w:ascii="宋体" w:hAnsi="宋体"/>
          <w:color w:val="auto"/>
          <w:sz w:val="21"/>
          <w:szCs w:val="21"/>
        </w:rPr>
        <w:t>四、代偿的安排</w:t>
      </w:r>
      <w:bookmarkEnd w:id="543"/>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1. </w:t>
      </w:r>
      <w:r>
        <w:rPr>
          <w:rFonts w:ascii="宋体" w:hAnsi="宋体"/>
          <w:color w:val="auto"/>
          <w:sz w:val="21"/>
          <w:szCs w:val="21"/>
        </w:rPr>
        <w:t>你方要求我方承担保证责任的，应向我方发出书面索赔通知及发包人未支付主合同约定工程款的证明材料。索赔通知应写明要求索赔的金额，支付款项应到达的账号。</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2. </w:t>
      </w:r>
      <w:r>
        <w:rPr>
          <w:rFonts w:ascii="宋体" w:hAnsi="宋体"/>
          <w:color w:val="auto"/>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3. </w:t>
      </w:r>
      <w:r>
        <w:rPr>
          <w:rFonts w:ascii="宋体" w:hAnsi="宋体"/>
          <w:color w:val="auto"/>
          <w:sz w:val="21"/>
          <w:szCs w:val="21"/>
        </w:rPr>
        <w:t>我方收到你方的书面索赔通知及相应的证明材料后７天内无条件支付。</w:t>
      </w:r>
    </w:p>
    <w:p>
      <w:pPr>
        <w:spacing w:line="360" w:lineRule="auto"/>
        <w:ind w:firstLine="420" w:firstLineChars="200"/>
        <w:jc w:val="left"/>
        <w:outlineLvl w:val="0"/>
        <w:rPr>
          <w:rFonts w:ascii="宋体" w:hAnsi="宋体"/>
          <w:color w:val="auto"/>
          <w:sz w:val="21"/>
          <w:szCs w:val="21"/>
        </w:rPr>
      </w:pPr>
      <w:bookmarkStart w:id="544" w:name="_Toc160553159"/>
      <w:r>
        <w:rPr>
          <w:rFonts w:ascii="宋体" w:hAnsi="宋体"/>
          <w:color w:val="auto"/>
          <w:sz w:val="21"/>
          <w:szCs w:val="21"/>
        </w:rPr>
        <w:t>五、保证责任的解除</w:t>
      </w:r>
      <w:bookmarkEnd w:id="544"/>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1. </w:t>
      </w:r>
      <w:r>
        <w:rPr>
          <w:rFonts w:ascii="宋体" w:hAnsi="宋体"/>
          <w:color w:val="auto"/>
          <w:sz w:val="21"/>
          <w:szCs w:val="21"/>
        </w:rPr>
        <w:t>在本保函承诺的保证期间内，你方未书面向我方主张保证责任的，自保证期间届满次日起，我方保证责任解除。</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2. </w:t>
      </w:r>
      <w:r>
        <w:rPr>
          <w:rFonts w:ascii="宋体" w:hAnsi="宋体"/>
          <w:color w:val="auto"/>
          <w:sz w:val="21"/>
          <w:szCs w:val="21"/>
        </w:rPr>
        <w:t>发包人按主合同约定履行了工程款的全部支付义务的，自本保函承诺的保证期间届满次日起，我方保证责任解除。</w:t>
      </w:r>
    </w:p>
    <w:p>
      <w:pPr>
        <w:spacing w:line="360" w:lineRule="auto"/>
        <w:ind w:firstLine="420" w:firstLineChars="200"/>
        <w:jc w:val="left"/>
        <w:rPr>
          <w:rFonts w:hint="eastAsia" w:ascii="宋体" w:hAnsi="宋体"/>
          <w:color w:val="auto"/>
          <w:sz w:val="21"/>
          <w:szCs w:val="21"/>
        </w:rPr>
      </w:pPr>
      <w:r>
        <w:rPr>
          <w:rFonts w:hint="eastAsia" w:ascii="宋体" w:hAnsi="宋体"/>
          <w:color w:val="auto"/>
          <w:sz w:val="21"/>
          <w:szCs w:val="21"/>
        </w:rPr>
        <w:t xml:space="preserve">3. </w:t>
      </w:r>
      <w:r>
        <w:rPr>
          <w:rFonts w:ascii="宋体" w:hAnsi="宋体"/>
          <w:color w:val="auto"/>
          <w:sz w:val="21"/>
          <w:szCs w:val="21"/>
        </w:rPr>
        <w:t>我方按照本保函向你方履行保证责任所支付金额达到本保函保证金额时，自我方向你方支付（支付款项从我方账户划出）之日起，保证责任即解除。</w:t>
      </w:r>
    </w:p>
    <w:p>
      <w:pPr>
        <w:spacing w:line="360" w:lineRule="auto"/>
        <w:ind w:firstLine="420" w:firstLineChars="200"/>
        <w:jc w:val="left"/>
        <w:rPr>
          <w:rFonts w:hint="eastAsia" w:ascii="宋体" w:hAnsi="宋体"/>
          <w:color w:val="auto"/>
          <w:sz w:val="21"/>
          <w:szCs w:val="21"/>
        </w:rPr>
      </w:pPr>
      <w:r>
        <w:rPr>
          <w:rFonts w:hint="eastAsia" w:ascii="宋体" w:hAnsi="宋体"/>
          <w:color w:val="auto"/>
          <w:sz w:val="21"/>
          <w:szCs w:val="21"/>
        </w:rPr>
        <w:t xml:space="preserve">4. </w:t>
      </w:r>
      <w:r>
        <w:rPr>
          <w:rFonts w:ascii="宋体" w:hAnsi="宋体"/>
          <w:color w:val="auto"/>
          <w:sz w:val="21"/>
          <w:szCs w:val="21"/>
        </w:rPr>
        <w:t>按照法律法规的规定或出现应解除我方保证责任的其他情形的，我方在本保函项下的保证责任亦解除。</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5. </w:t>
      </w:r>
      <w:r>
        <w:rPr>
          <w:rFonts w:ascii="宋体" w:hAnsi="宋体"/>
          <w:color w:val="auto"/>
          <w:sz w:val="21"/>
          <w:szCs w:val="21"/>
        </w:rPr>
        <w:t>我方解除保证责任后，你方应自我方保证责任解除之日起</w:t>
      </w:r>
      <w:r>
        <w:rPr>
          <w:rFonts w:hint="eastAsia" w:ascii="宋体" w:hAnsi="宋体"/>
          <w:color w:val="auto"/>
          <w:sz w:val="21"/>
          <w:szCs w:val="21"/>
          <w:u w:val="single"/>
        </w:rPr>
        <w:t xml:space="preserve">  </w:t>
      </w:r>
      <w:r>
        <w:rPr>
          <w:rFonts w:ascii="宋体" w:hAnsi="宋体"/>
          <w:color w:val="auto"/>
          <w:sz w:val="21"/>
          <w:szCs w:val="21"/>
        </w:rPr>
        <w:t>个工作日内，将本保函原件返还我方。</w:t>
      </w:r>
    </w:p>
    <w:p>
      <w:pPr>
        <w:spacing w:line="360" w:lineRule="auto"/>
        <w:ind w:firstLine="420" w:firstLineChars="200"/>
        <w:jc w:val="left"/>
        <w:outlineLvl w:val="0"/>
        <w:rPr>
          <w:rFonts w:ascii="宋体" w:hAnsi="宋体"/>
          <w:color w:val="auto"/>
          <w:sz w:val="21"/>
          <w:szCs w:val="21"/>
        </w:rPr>
      </w:pPr>
      <w:bookmarkStart w:id="545" w:name="_Toc160553160"/>
      <w:r>
        <w:rPr>
          <w:rFonts w:ascii="宋体" w:hAnsi="宋体"/>
          <w:color w:val="auto"/>
          <w:sz w:val="21"/>
          <w:szCs w:val="21"/>
        </w:rPr>
        <w:t>六、免责条款</w:t>
      </w:r>
      <w:bookmarkEnd w:id="545"/>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1. </w:t>
      </w:r>
      <w:r>
        <w:rPr>
          <w:rFonts w:ascii="宋体" w:hAnsi="宋体"/>
          <w:color w:val="auto"/>
          <w:sz w:val="21"/>
          <w:szCs w:val="21"/>
        </w:rPr>
        <w:t>因你方违约致使发包人不能履行义务的，我方不承担保证责任。</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2. </w:t>
      </w:r>
      <w:r>
        <w:rPr>
          <w:rFonts w:ascii="宋体" w:hAnsi="宋体"/>
          <w:color w:val="auto"/>
          <w:sz w:val="21"/>
          <w:szCs w:val="21"/>
        </w:rPr>
        <w:t>依照法律法规的规定或你方与发包人的另行约定，免除发包人部分或全部义务的，我方亦免除其相应的保证责任。</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3. </w:t>
      </w:r>
      <w:r>
        <w:rPr>
          <w:rFonts w:ascii="宋体" w:hAnsi="宋体"/>
          <w:color w:val="auto"/>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color w:val="auto"/>
          <w:sz w:val="21"/>
          <w:szCs w:val="21"/>
        </w:rPr>
        <w:t>〔</w:t>
      </w:r>
      <w:r>
        <w:rPr>
          <w:rFonts w:ascii="宋体" w:hAnsi="宋体"/>
          <w:color w:val="auto"/>
          <w:sz w:val="21"/>
          <w:szCs w:val="21"/>
        </w:rPr>
        <w:t>变更</w:t>
      </w:r>
      <w:r>
        <w:rPr>
          <w:rFonts w:hint="eastAsia" w:ascii="宋体" w:hAnsi="宋体"/>
          <w:color w:val="auto"/>
          <w:sz w:val="21"/>
          <w:szCs w:val="21"/>
        </w:rPr>
        <w:t>〕</w:t>
      </w:r>
      <w:r>
        <w:rPr>
          <w:rFonts w:ascii="宋体" w:hAnsi="宋体"/>
          <w:color w:val="auto"/>
          <w:sz w:val="21"/>
          <w:szCs w:val="21"/>
        </w:rPr>
        <w:t>约定的变更不受本款限制。</w:t>
      </w:r>
    </w:p>
    <w:p>
      <w:pPr>
        <w:spacing w:line="360" w:lineRule="auto"/>
        <w:ind w:firstLine="420" w:firstLineChars="200"/>
        <w:jc w:val="left"/>
        <w:rPr>
          <w:rFonts w:ascii="宋体" w:hAnsi="宋体"/>
          <w:color w:val="auto"/>
          <w:sz w:val="21"/>
          <w:szCs w:val="21"/>
        </w:rPr>
      </w:pPr>
      <w:r>
        <w:rPr>
          <w:rFonts w:hint="eastAsia" w:ascii="宋体" w:hAnsi="宋体"/>
          <w:color w:val="auto"/>
          <w:sz w:val="21"/>
          <w:szCs w:val="21"/>
        </w:rPr>
        <w:t xml:space="preserve">4. </w:t>
      </w:r>
      <w:r>
        <w:rPr>
          <w:rFonts w:ascii="宋体" w:hAnsi="宋体"/>
          <w:color w:val="auto"/>
          <w:sz w:val="21"/>
          <w:szCs w:val="21"/>
        </w:rPr>
        <w:t>因不可抗力造成发包人不能履行义务的，我方不承担保证责任。</w:t>
      </w:r>
    </w:p>
    <w:p>
      <w:pPr>
        <w:spacing w:line="360" w:lineRule="auto"/>
        <w:ind w:firstLine="420" w:firstLineChars="200"/>
        <w:jc w:val="left"/>
        <w:outlineLvl w:val="0"/>
        <w:rPr>
          <w:rFonts w:ascii="宋体" w:hAnsi="宋体"/>
          <w:color w:val="auto"/>
          <w:sz w:val="21"/>
          <w:szCs w:val="21"/>
        </w:rPr>
      </w:pPr>
      <w:bookmarkStart w:id="546" w:name="_Toc160553161"/>
      <w:r>
        <w:rPr>
          <w:rFonts w:ascii="宋体" w:hAnsi="宋体"/>
          <w:color w:val="auto"/>
          <w:sz w:val="21"/>
          <w:szCs w:val="21"/>
        </w:rPr>
        <w:t>七、争议解决</w:t>
      </w:r>
      <w:bookmarkEnd w:id="546"/>
    </w:p>
    <w:p>
      <w:pPr>
        <w:spacing w:after="120" w:line="360" w:lineRule="auto"/>
        <w:ind w:firstLine="420" w:firstLineChars="200"/>
        <w:rPr>
          <w:rFonts w:ascii="宋体" w:hAnsi="宋体"/>
          <w:color w:val="auto"/>
          <w:sz w:val="21"/>
          <w:szCs w:val="21"/>
        </w:rPr>
      </w:pPr>
      <w:r>
        <w:rPr>
          <w:rFonts w:ascii="宋体" w:hAnsi="宋体"/>
          <w:color w:val="auto"/>
          <w:sz w:val="21"/>
          <w:szCs w:val="21"/>
        </w:rPr>
        <w:t>因本保函</w:t>
      </w:r>
      <w:r>
        <w:rPr>
          <w:rFonts w:hint="eastAsia" w:ascii="宋体" w:hAnsi="宋体"/>
          <w:color w:val="auto"/>
          <w:sz w:val="21"/>
          <w:szCs w:val="21"/>
        </w:rPr>
        <w:t>或本保函相关事项</w:t>
      </w:r>
      <w:r>
        <w:rPr>
          <w:rFonts w:ascii="宋体" w:hAnsi="宋体"/>
          <w:color w:val="auto"/>
          <w:sz w:val="21"/>
          <w:szCs w:val="21"/>
        </w:rPr>
        <w:t>发生的纠纷，可由双方协商解决，协商不成的，按下列第</w:t>
      </w:r>
      <w:r>
        <w:rPr>
          <w:rFonts w:ascii="宋体" w:hAnsi="宋体"/>
          <w:color w:val="auto"/>
          <w:sz w:val="21"/>
          <w:szCs w:val="21"/>
          <w:u w:val="single"/>
        </w:rPr>
        <w:t xml:space="preserve">     </w:t>
      </w:r>
      <w:r>
        <w:rPr>
          <w:rFonts w:ascii="宋体" w:hAnsi="宋体"/>
          <w:color w:val="auto"/>
          <w:sz w:val="21"/>
          <w:szCs w:val="21"/>
        </w:rPr>
        <w:t>种方式</w:t>
      </w:r>
      <w:r>
        <w:rPr>
          <w:rFonts w:hint="eastAsia" w:ascii="宋体" w:hAnsi="宋体"/>
          <w:color w:val="auto"/>
          <w:sz w:val="21"/>
          <w:szCs w:val="21"/>
        </w:rPr>
        <w:t>解</w:t>
      </w:r>
      <w:r>
        <w:rPr>
          <w:rFonts w:ascii="宋体" w:hAnsi="宋体"/>
          <w:color w:val="auto"/>
          <w:sz w:val="21"/>
          <w:szCs w:val="21"/>
        </w:rPr>
        <w:t>决：</w:t>
      </w:r>
    </w:p>
    <w:p>
      <w:pPr>
        <w:spacing w:line="360" w:lineRule="auto"/>
        <w:ind w:firstLine="420" w:firstLineChars="200"/>
        <w:jc w:val="left"/>
        <w:rPr>
          <w:rFonts w:ascii="宋体" w:hAnsi="宋体"/>
          <w:color w:val="auto"/>
          <w:sz w:val="21"/>
          <w:szCs w:val="21"/>
        </w:rPr>
      </w:pPr>
      <w:r>
        <w:rPr>
          <w:rFonts w:ascii="宋体" w:hAnsi="宋体"/>
          <w:color w:val="auto"/>
          <w:sz w:val="21"/>
          <w:szCs w:val="21"/>
        </w:rPr>
        <w:t>（1）向</w:t>
      </w:r>
      <w:r>
        <w:rPr>
          <w:rFonts w:ascii="宋体" w:hAnsi="宋体"/>
          <w:color w:val="auto"/>
          <w:sz w:val="21"/>
          <w:szCs w:val="21"/>
          <w:u w:val="single"/>
        </w:rPr>
        <w:t xml:space="preserve">                     </w:t>
      </w:r>
      <w:r>
        <w:rPr>
          <w:rFonts w:ascii="宋体" w:hAnsi="宋体"/>
          <w:color w:val="auto"/>
          <w:sz w:val="21"/>
          <w:szCs w:val="21"/>
        </w:rPr>
        <w:t>仲裁委员会申请仲裁；</w:t>
      </w:r>
    </w:p>
    <w:p>
      <w:pPr>
        <w:spacing w:line="360" w:lineRule="auto"/>
        <w:ind w:firstLine="420" w:firstLineChars="200"/>
        <w:jc w:val="left"/>
        <w:rPr>
          <w:rFonts w:ascii="宋体" w:hAnsi="宋体"/>
          <w:color w:val="auto"/>
          <w:sz w:val="21"/>
          <w:szCs w:val="21"/>
        </w:rPr>
      </w:pPr>
      <w:r>
        <w:rPr>
          <w:rFonts w:ascii="宋体" w:hAnsi="宋体"/>
          <w:color w:val="auto"/>
          <w:sz w:val="21"/>
          <w:szCs w:val="21"/>
        </w:rPr>
        <w:t>（2）向</w:t>
      </w:r>
      <w:r>
        <w:rPr>
          <w:rFonts w:ascii="宋体" w:hAnsi="宋体"/>
          <w:color w:val="auto"/>
          <w:sz w:val="21"/>
          <w:szCs w:val="21"/>
          <w:u w:val="single"/>
        </w:rPr>
        <w:t xml:space="preserve">                     </w:t>
      </w:r>
      <w:r>
        <w:rPr>
          <w:rFonts w:ascii="宋体" w:hAnsi="宋体"/>
          <w:color w:val="auto"/>
          <w:sz w:val="21"/>
          <w:szCs w:val="21"/>
        </w:rPr>
        <w:t>人民法院起诉。</w:t>
      </w:r>
    </w:p>
    <w:p>
      <w:pPr>
        <w:spacing w:line="360" w:lineRule="auto"/>
        <w:ind w:firstLine="420" w:firstLineChars="200"/>
        <w:jc w:val="left"/>
        <w:outlineLvl w:val="0"/>
        <w:rPr>
          <w:rFonts w:ascii="宋体" w:hAnsi="宋体"/>
          <w:color w:val="auto"/>
          <w:sz w:val="21"/>
          <w:szCs w:val="21"/>
        </w:rPr>
      </w:pPr>
      <w:bookmarkStart w:id="547" w:name="_Toc160553162"/>
      <w:r>
        <w:rPr>
          <w:rFonts w:ascii="宋体" w:hAnsi="宋体"/>
          <w:color w:val="auto"/>
          <w:sz w:val="21"/>
          <w:szCs w:val="21"/>
        </w:rPr>
        <w:t>八、保函的生效</w:t>
      </w:r>
      <w:bookmarkEnd w:id="547"/>
    </w:p>
    <w:p>
      <w:pPr>
        <w:spacing w:line="360" w:lineRule="auto"/>
        <w:ind w:firstLine="420" w:firstLineChars="200"/>
        <w:jc w:val="left"/>
        <w:rPr>
          <w:rFonts w:ascii="宋体" w:hAnsi="宋体"/>
          <w:color w:val="auto"/>
          <w:sz w:val="21"/>
          <w:szCs w:val="21"/>
        </w:rPr>
      </w:pPr>
      <w:r>
        <w:rPr>
          <w:rFonts w:ascii="宋体" w:hAnsi="宋体"/>
          <w:color w:val="auto"/>
          <w:sz w:val="21"/>
          <w:szCs w:val="21"/>
        </w:rPr>
        <w:t>本保函自我方法定代表人（或其授权代理人）签字加盖公章之日起生效。</w:t>
      </w:r>
    </w:p>
    <w:p>
      <w:pPr>
        <w:spacing w:line="360" w:lineRule="auto"/>
        <w:ind w:firstLine="420" w:firstLineChars="200"/>
        <w:jc w:val="left"/>
        <w:rPr>
          <w:rFonts w:hint="eastAsia" w:ascii="宋体" w:hAnsi="宋体"/>
          <w:color w:val="auto"/>
          <w:sz w:val="21"/>
          <w:szCs w:val="21"/>
        </w:rPr>
      </w:pPr>
    </w:p>
    <w:p>
      <w:pPr>
        <w:spacing w:line="360" w:lineRule="auto"/>
        <w:ind w:right="600"/>
        <w:jc w:val="left"/>
        <w:rPr>
          <w:rFonts w:hint="eastAsia" w:ascii="宋体" w:hAnsi="宋体"/>
          <w:color w:val="auto"/>
          <w:sz w:val="21"/>
          <w:szCs w:val="21"/>
        </w:rPr>
      </w:pPr>
    </w:p>
    <w:p>
      <w:pPr>
        <w:spacing w:line="360" w:lineRule="auto"/>
        <w:ind w:right="600"/>
        <w:jc w:val="left"/>
        <w:rPr>
          <w:rFonts w:ascii="宋体" w:hAnsi="宋体"/>
          <w:color w:val="auto"/>
          <w:sz w:val="21"/>
          <w:szCs w:val="21"/>
        </w:rPr>
      </w:pPr>
      <w:r>
        <w:rPr>
          <w:rFonts w:ascii="宋体" w:hAnsi="宋体"/>
          <w:color w:val="auto"/>
          <w:sz w:val="21"/>
          <w:szCs w:val="21"/>
        </w:rPr>
        <w:t>担保人：</w:t>
      </w:r>
      <w:r>
        <w:rPr>
          <w:rFonts w:ascii="宋体" w:hAnsi="宋体"/>
          <w:color w:val="auto"/>
          <w:sz w:val="21"/>
          <w:szCs w:val="21"/>
          <w:u w:val="single"/>
        </w:rPr>
        <w:t xml:space="preserve">                                   </w:t>
      </w:r>
      <w:r>
        <w:rPr>
          <w:rFonts w:ascii="宋体" w:hAnsi="宋体"/>
          <w:color w:val="auto"/>
          <w:sz w:val="21"/>
          <w:szCs w:val="21"/>
        </w:rPr>
        <w:t>（盖章）</w:t>
      </w:r>
    </w:p>
    <w:p>
      <w:pPr>
        <w:spacing w:line="360" w:lineRule="auto"/>
        <w:ind w:right="1200"/>
        <w:rPr>
          <w:rFonts w:ascii="宋体" w:hAnsi="宋体"/>
          <w:color w:val="auto"/>
          <w:sz w:val="21"/>
          <w:szCs w:val="21"/>
        </w:rPr>
      </w:pPr>
      <w:r>
        <w:rPr>
          <w:rFonts w:ascii="宋体" w:hAnsi="宋体"/>
          <w:color w:val="auto"/>
          <w:sz w:val="21"/>
          <w:szCs w:val="21"/>
        </w:rPr>
        <w:t>法定代表人或委托代理人：</w:t>
      </w:r>
      <w:r>
        <w:rPr>
          <w:rFonts w:ascii="宋体" w:hAnsi="宋体"/>
          <w:color w:val="auto"/>
          <w:sz w:val="21"/>
          <w:szCs w:val="21"/>
          <w:u w:val="single"/>
        </w:rPr>
        <w:t xml:space="preserve">                   </w:t>
      </w:r>
      <w:r>
        <w:rPr>
          <w:rFonts w:ascii="宋体" w:hAnsi="宋体"/>
          <w:color w:val="auto"/>
          <w:sz w:val="21"/>
          <w:szCs w:val="21"/>
        </w:rPr>
        <w:t>（签字）</w:t>
      </w:r>
    </w:p>
    <w:p>
      <w:pPr>
        <w:spacing w:line="360" w:lineRule="auto"/>
        <w:jc w:val="left"/>
        <w:rPr>
          <w:rFonts w:ascii="宋体" w:hAnsi="宋体"/>
          <w:color w:val="auto"/>
          <w:sz w:val="21"/>
          <w:szCs w:val="21"/>
        </w:rPr>
      </w:pPr>
      <w:r>
        <w:rPr>
          <w:rFonts w:ascii="宋体" w:hAnsi="宋体"/>
          <w:color w:val="auto"/>
          <w:sz w:val="21"/>
          <w:szCs w:val="21"/>
        </w:rPr>
        <w:t>地    址：</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jc w:val="left"/>
        <w:rPr>
          <w:rFonts w:ascii="宋体" w:hAnsi="宋体"/>
          <w:color w:val="auto"/>
          <w:sz w:val="21"/>
          <w:szCs w:val="21"/>
        </w:rPr>
      </w:pPr>
      <w:r>
        <w:rPr>
          <w:rFonts w:ascii="宋体" w:hAnsi="宋体"/>
          <w:color w:val="auto"/>
          <w:sz w:val="21"/>
          <w:szCs w:val="21"/>
        </w:rPr>
        <w:t>邮政编码：</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jc w:val="left"/>
        <w:rPr>
          <w:rFonts w:ascii="宋体" w:hAnsi="宋体"/>
          <w:color w:val="auto"/>
          <w:sz w:val="21"/>
          <w:szCs w:val="21"/>
        </w:rPr>
      </w:pPr>
      <w:r>
        <w:rPr>
          <w:rFonts w:ascii="宋体" w:hAnsi="宋体"/>
          <w:color w:val="auto"/>
          <w:sz w:val="21"/>
          <w:szCs w:val="21"/>
        </w:rPr>
        <w:t>传    真：</w:t>
      </w:r>
      <w:r>
        <w:rPr>
          <w:rFonts w:ascii="宋体" w:hAnsi="宋体"/>
          <w:color w:val="auto"/>
          <w:sz w:val="21"/>
          <w:szCs w:val="21"/>
          <w:u w:val="single"/>
        </w:rPr>
        <w:t xml:space="preserve">      </w:t>
      </w:r>
      <w:r>
        <w:rPr>
          <w:rFonts w:hint="eastAsia" w:ascii="宋体" w:hAnsi="宋体"/>
          <w:color w:val="auto"/>
          <w:sz w:val="21"/>
          <w:szCs w:val="21"/>
          <w:u w:val="single"/>
        </w:rPr>
        <w:t xml:space="preserve">        </w:t>
      </w:r>
      <w:r>
        <w:rPr>
          <w:rFonts w:ascii="宋体" w:hAnsi="宋体"/>
          <w:color w:val="auto"/>
          <w:sz w:val="21"/>
          <w:szCs w:val="21"/>
          <w:u w:val="single"/>
        </w:rPr>
        <w:t xml:space="preserve">                          </w:t>
      </w:r>
    </w:p>
    <w:p>
      <w:pPr>
        <w:spacing w:line="360" w:lineRule="auto"/>
        <w:ind w:right="150" w:firstLine="420" w:firstLineChars="200"/>
        <w:jc w:val="left"/>
        <w:rPr>
          <w:rFonts w:ascii="宋体" w:hAnsi="宋体"/>
          <w:color w:val="auto"/>
          <w:sz w:val="21"/>
          <w:szCs w:val="21"/>
          <w:u w:val="single"/>
        </w:rPr>
      </w:pPr>
    </w:p>
    <w:p>
      <w:pPr>
        <w:spacing w:line="360" w:lineRule="auto"/>
        <w:ind w:right="150" w:firstLine="420" w:firstLineChars="200"/>
        <w:jc w:val="left"/>
        <w:rPr>
          <w:rFonts w:ascii="宋体" w:hAnsi="宋体"/>
          <w:color w:val="auto"/>
          <w:sz w:val="24"/>
          <w:szCs w:val="24"/>
        </w:rPr>
      </w:pPr>
      <w:r>
        <w:rPr>
          <w:rFonts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年</w:t>
      </w:r>
      <w:r>
        <w:rPr>
          <w:rFonts w:ascii="宋体" w:hAnsi="宋体"/>
          <w:color w:val="auto"/>
          <w:sz w:val="21"/>
          <w:szCs w:val="21"/>
          <w:u w:val="single"/>
        </w:rPr>
        <w:t xml:space="preserve">      </w:t>
      </w:r>
      <w:r>
        <w:rPr>
          <w:rFonts w:ascii="宋体" w:hAnsi="宋体"/>
          <w:color w:val="auto"/>
          <w:sz w:val="21"/>
          <w:szCs w:val="21"/>
        </w:rPr>
        <w:t>月</w:t>
      </w:r>
      <w:r>
        <w:rPr>
          <w:rFonts w:ascii="宋体" w:hAnsi="宋体"/>
          <w:color w:val="auto"/>
          <w:sz w:val="21"/>
          <w:szCs w:val="21"/>
          <w:u w:val="single"/>
        </w:rPr>
        <w:t xml:space="preserve">      </w:t>
      </w:r>
      <w:r>
        <w:rPr>
          <w:rFonts w:ascii="宋体" w:hAnsi="宋体"/>
          <w:color w:val="auto"/>
          <w:sz w:val="21"/>
          <w:szCs w:val="21"/>
        </w:rPr>
        <w:t>日</w:t>
      </w:r>
    </w:p>
    <w:p>
      <w:pPr>
        <w:spacing w:line="440" w:lineRule="exact"/>
        <w:rPr>
          <w:rFonts w:ascii="宋体" w:hAnsi="宋体"/>
          <w:color w:val="auto"/>
          <w:sz w:val="30"/>
          <w:szCs w:val="30"/>
        </w:rPr>
      </w:pPr>
      <w:r>
        <w:rPr>
          <w:rFonts w:ascii="宋体" w:hAnsi="宋体"/>
          <w:color w:val="auto"/>
          <w:sz w:val="24"/>
          <w:szCs w:val="24"/>
        </w:rPr>
        <w:br w:type="page"/>
      </w:r>
      <w:r>
        <w:rPr>
          <w:rFonts w:ascii="宋体" w:hAnsi="宋体"/>
          <w:color w:val="auto"/>
          <w:sz w:val="30"/>
          <w:szCs w:val="30"/>
        </w:rPr>
        <w:t>附件11：</w:t>
      </w:r>
    </w:p>
    <w:p>
      <w:pPr>
        <w:spacing w:before="156" w:beforeLines="50" w:after="156" w:afterLines="50" w:line="440" w:lineRule="exact"/>
        <w:jc w:val="center"/>
        <w:outlineLvl w:val="0"/>
        <w:rPr>
          <w:rFonts w:ascii="宋体" w:hAnsi="宋体"/>
          <w:color w:val="auto"/>
          <w:sz w:val="30"/>
          <w:szCs w:val="30"/>
        </w:rPr>
      </w:pPr>
      <w:bookmarkStart w:id="548" w:name="_Toc160553163"/>
      <w:r>
        <w:rPr>
          <w:rFonts w:ascii="宋体" w:hAnsi="宋体"/>
          <w:color w:val="auto"/>
          <w:sz w:val="30"/>
          <w:szCs w:val="30"/>
        </w:rPr>
        <w:t>11-1：材料暂估价表</w:t>
      </w:r>
      <w:bookmarkEnd w:id="548"/>
    </w:p>
    <w:tbl>
      <w:tblPr>
        <w:tblStyle w:val="42"/>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23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序号</w:t>
            </w:r>
          </w:p>
        </w:tc>
        <w:tc>
          <w:tcPr>
            <w:tcW w:w="1984"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名称</w:t>
            </w:r>
          </w:p>
        </w:tc>
        <w:tc>
          <w:tcPr>
            <w:tcW w:w="851"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单位</w:t>
            </w:r>
          </w:p>
        </w:tc>
        <w:tc>
          <w:tcPr>
            <w:tcW w:w="774"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数量</w:t>
            </w:r>
          </w:p>
        </w:tc>
        <w:tc>
          <w:tcPr>
            <w:tcW w:w="1352"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单价</w:t>
            </w:r>
            <w:r>
              <w:rPr>
                <w:rFonts w:hint="eastAsia" w:ascii="宋体" w:hAnsi="宋体"/>
                <w:color w:val="auto"/>
                <w:kern w:val="2"/>
                <w:sz w:val="28"/>
                <w:szCs w:val="30"/>
              </w:rPr>
              <w:t>（元）</w:t>
            </w:r>
          </w:p>
        </w:tc>
        <w:tc>
          <w:tcPr>
            <w:tcW w:w="1418"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合价</w:t>
            </w:r>
            <w:r>
              <w:rPr>
                <w:rFonts w:hint="eastAsia" w:ascii="宋体" w:hAnsi="宋体"/>
                <w:color w:val="auto"/>
                <w:kern w:val="2"/>
                <w:sz w:val="28"/>
                <w:szCs w:val="30"/>
              </w:rPr>
              <w:t>（元）</w:t>
            </w:r>
          </w:p>
        </w:tc>
        <w:tc>
          <w:tcPr>
            <w:tcW w:w="2359"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1984"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851"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774"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1352"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1418"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2359"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1984"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851"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774"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1352"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1418"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2359"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ascii="宋体" w:hAnsi="宋体"/>
                <w:color w:val="auto"/>
                <w:kern w:val="2"/>
                <w:sz w:val="28"/>
                <w:szCs w:val="30"/>
              </w:rPr>
            </w:pPr>
          </w:p>
        </w:tc>
        <w:tc>
          <w:tcPr>
            <w:tcW w:w="1984" w:type="dxa"/>
            <w:noWrap w:val="0"/>
            <w:vAlign w:val="top"/>
          </w:tcPr>
          <w:p>
            <w:pPr>
              <w:pStyle w:val="17"/>
              <w:keepNext/>
              <w:spacing w:after="0" w:line="440" w:lineRule="exact"/>
              <w:ind w:left="63" w:right="63"/>
              <w:rPr>
                <w:rFonts w:ascii="宋体" w:hAnsi="宋体"/>
                <w:color w:val="auto"/>
                <w:kern w:val="2"/>
                <w:sz w:val="28"/>
                <w:szCs w:val="30"/>
              </w:rPr>
            </w:pPr>
          </w:p>
        </w:tc>
        <w:tc>
          <w:tcPr>
            <w:tcW w:w="851" w:type="dxa"/>
            <w:noWrap w:val="0"/>
            <w:vAlign w:val="top"/>
          </w:tcPr>
          <w:p>
            <w:pPr>
              <w:pStyle w:val="17"/>
              <w:keepNext/>
              <w:spacing w:after="0" w:line="440" w:lineRule="exact"/>
              <w:ind w:left="63" w:right="63"/>
              <w:rPr>
                <w:rFonts w:ascii="宋体" w:hAnsi="宋体"/>
                <w:color w:val="auto"/>
                <w:kern w:val="2"/>
                <w:sz w:val="28"/>
                <w:szCs w:val="30"/>
              </w:rPr>
            </w:pPr>
          </w:p>
        </w:tc>
        <w:tc>
          <w:tcPr>
            <w:tcW w:w="774" w:type="dxa"/>
            <w:noWrap w:val="0"/>
            <w:vAlign w:val="top"/>
          </w:tcPr>
          <w:p>
            <w:pPr>
              <w:pStyle w:val="17"/>
              <w:keepNext/>
              <w:spacing w:after="0" w:line="440" w:lineRule="exact"/>
              <w:ind w:left="63" w:right="63"/>
              <w:rPr>
                <w:rFonts w:ascii="宋体" w:hAnsi="宋体"/>
                <w:color w:val="auto"/>
                <w:kern w:val="2"/>
                <w:sz w:val="28"/>
                <w:szCs w:val="30"/>
              </w:rPr>
            </w:pPr>
          </w:p>
        </w:tc>
        <w:tc>
          <w:tcPr>
            <w:tcW w:w="1352" w:type="dxa"/>
            <w:noWrap w:val="0"/>
            <w:vAlign w:val="top"/>
          </w:tcPr>
          <w:p>
            <w:pPr>
              <w:pStyle w:val="17"/>
              <w:keepNext/>
              <w:spacing w:after="0" w:line="440" w:lineRule="exact"/>
              <w:ind w:left="63" w:right="63"/>
              <w:rPr>
                <w:rFonts w:ascii="宋体" w:hAnsi="宋体"/>
                <w:color w:val="auto"/>
                <w:kern w:val="2"/>
                <w:sz w:val="28"/>
                <w:szCs w:val="30"/>
              </w:rPr>
            </w:pPr>
          </w:p>
        </w:tc>
        <w:tc>
          <w:tcPr>
            <w:tcW w:w="1418" w:type="dxa"/>
            <w:noWrap w:val="0"/>
            <w:vAlign w:val="top"/>
          </w:tcPr>
          <w:p>
            <w:pPr>
              <w:pStyle w:val="17"/>
              <w:keepNext/>
              <w:spacing w:after="0" w:line="440" w:lineRule="exact"/>
              <w:ind w:left="63" w:right="63"/>
              <w:rPr>
                <w:rFonts w:ascii="宋体" w:hAnsi="宋体"/>
                <w:color w:val="auto"/>
                <w:kern w:val="2"/>
                <w:sz w:val="28"/>
                <w:szCs w:val="30"/>
              </w:rPr>
            </w:pPr>
          </w:p>
        </w:tc>
        <w:tc>
          <w:tcPr>
            <w:tcW w:w="2359" w:type="dxa"/>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bl>
    <w:p>
      <w:pPr>
        <w:spacing w:before="156" w:beforeLines="50" w:after="156" w:afterLines="50" w:line="440" w:lineRule="exact"/>
        <w:rPr>
          <w:rFonts w:hint="eastAsia" w:ascii="Times New Roman" w:hAnsi="Times New Roman" w:eastAsia="黑体"/>
          <w:color w:val="auto"/>
          <w:sz w:val="30"/>
          <w:szCs w:val="30"/>
        </w:rPr>
      </w:pPr>
    </w:p>
    <w:p>
      <w:pPr>
        <w:spacing w:before="156" w:beforeLines="50" w:after="156" w:afterLines="50" w:line="440" w:lineRule="exact"/>
        <w:jc w:val="center"/>
        <w:rPr>
          <w:rFonts w:ascii="宋体" w:hAnsi="宋体"/>
          <w:color w:val="auto"/>
          <w:sz w:val="30"/>
          <w:szCs w:val="30"/>
        </w:rPr>
      </w:pPr>
      <w:r>
        <w:rPr>
          <w:rFonts w:ascii="宋体" w:hAnsi="宋体"/>
          <w:color w:val="auto"/>
          <w:sz w:val="30"/>
          <w:szCs w:val="30"/>
        </w:rPr>
        <w:t>11-2：工程设备暂估价表</w:t>
      </w:r>
    </w:p>
    <w:tbl>
      <w:tblPr>
        <w:tblStyle w:val="42"/>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235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序号</w:t>
            </w:r>
          </w:p>
        </w:tc>
        <w:tc>
          <w:tcPr>
            <w:tcW w:w="1984"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名称</w:t>
            </w:r>
          </w:p>
        </w:tc>
        <w:tc>
          <w:tcPr>
            <w:tcW w:w="851"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单位</w:t>
            </w:r>
          </w:p>
        </w:tc>
        <w:tc>
          <w:tcPr>
            <w:tcW w:w="774"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数量</w:t>
            </w:r>
          </w:p>
        </w:tc>
        <w:tc>
          <w:tcPr>
            <w:tcW w:w="1352"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单价</w:t>
            </w:r>
            <w:r>
              <w:rPr>
                <w:rFonts w:hint="eastAsia" w:ascii="宋体" w:hAnsi="宋体"/>
                <w:color w:val="auto"/>
                <w:kern w:val="2"/>
                <w:sz w:val="28"/>
                <w:szCs w:val="30"/>
              </w:rPr>
              <w:t>（元）</w:t>
            </w:r>
          </w:p>
        </w:tc>
        <w:tc>
          <w:tcPr>
            <w:tcW w:w="1418"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合价</w:t>
            </w:r>
            <w:r>
              <w:rPr>
                <w:rFonts w:hint="eastAsia" w:ascii="宋体" w:hAnsi="宋体"/>
                <w:color w:val="auto"/>
                <w:kern w:val="2"/>
                <w:sz w:val="28"/>
                <w:szCs w:val="30"/>
              </w:rPr>
              <w:t>（元）</w:t>
            </w:r>
          </w:p>
        </w:tc>
        <w:tc>
          <w:tcPr>
            <w:tcW w:w="2359"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1984"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851"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774"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1352"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1418"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c>
          <w:tcPr>
            <w:tcW w:w="2359"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1984"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851"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774"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1352"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1418"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c>
          <w:tcPr>
            <w:tcW w:w="2359" w:type="dxa"/>
            <w:tcBorders>
              <w:top w:val="nil"/>
            </w:tcBorders>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ascii="宋体" w:hAnsi="宋体"/>
                <w:color w:val="auto"/>
                <w:kern w:val="2"/>
                <w:sz w:val="28"/>
                <w:szCs w:val="30"/>
              </w:rPr>
            </w:pPr>
          </w:p>
        </w:tc>
        <w:tc>
          <w:tcPr>
            <w:tcW w:w="1984" w:type="dxa"/>
            <w:noWrap w:val="0"/>
            <w:vAlign w:val="top"/>
          </w:tcPr>
          <w:p>
            <w:pPr>
              <w:pStyle w:val="17"/>
              <w:keepNext/>
              <w:spacing w:after="0" w:line="440" w:lineRule="exact"/>
              <w:ind w:left="63" w:right="63"/>
              <w:rPr>
                <w:rFonts w:ascii="宋体" w:hAnsi="宋体"/>
                <w:color w:val="auto"/>
                <w:kern w:val="2"/>
                <w:sz w:val="28"/>
                <w:szCs w:val="30"/>
              </w:rPr>
            </w:pPr>
          </w:p>
        </w:tc>
        <w:tc>
          <w:tcPr>
            <w:tcW w:w="851" w:type="dxa"/>
            <w:noWrap w:val="0"/>
            <w:vAlign w:val="top"/>
          </w:tcPr>
          <w:p>
            <w:pPr>
              <w:pStyle w:val="17"/>
              <w:keepNext/>
              <w:spacing w:after="0" w:line="440" w:lineRule="exact"/>
              <w:ind w:left="63" w:right="63"/>
              <w:rPr>
                <w:rFonts w:ascii="宋体" w:hAnsi="宋体"/>
                <w:color w:val="auto"/>
                <w:kern w:val="2"/>
                <w:sz w:val="28"/>
                <w:szCs w:val="30"/>
              </w:rPr>
            </w:pPr>
          </w:p>
        </w:tc>
        <w:tc>
          <w:tcPr>
            <w:tcW w:w="774" w:type="dxa"/>
            <w:noWrap w:val="0"/>
            <w:vAlign w:val="top"/>
          </w:tcPr>
          <w:p>
            <w:pPr>
              <w:pStyle w:val="17"/>
              <w:keepNext/>
              <w:spacing w:after="0" w:line="440" w:lineRule="exact"/>
              <w:ind w:left="63" w:right="63"/>
              <w:rPr>
                <w:rFonts w:ascii="宋体" w:hAnsi="宋体"/>
                <w:color w:val="auto"/>
                <w:kern w:val="2"/>
                <w:sz w:val="28"/>
                <w:szCs w:val="30"/>
              </w:rPr>
            </w:pPr>
          </w:p>
        </w:tc>
        <w:tc>
          <w:tcPr>
            <w:tcW w:w="1352" w:type="dxa"/>
            <w:noWrap w:val="0"/>
            <w:vAlign w:val="top"/>
          </w:tcPr>
          <w:p>
            <w:pPr>
              <w:pStyle w:val="17"/>
              <w:keepNext/>
              <w:spacing w:after="0" w:line="440" w:lineRule="exact"/>
              <w:ind w:left="63" w:right="63"/>
              <w:rPr>
                <w:rFonts w:ascii="宋体" w:hAnsi="宋体"/>
                <w:color w:val="auto"/>
                <w:kern w:val="2"/>
                <w:sz w:val="28"/>
                <w:szCs w:val="30"/>
              </w:rPr>
            </w:pPr>
          </w:p>
        </w:tc>
        <w:tc>
          <w:tcPr>
            <w:tcW w:w="1418" w:type="dxa"/>
            <w:noWrap w:val="0"/>
            <w:vAlign w:val="top"/>
          </w:tcPr>
          <w:p>
            <w:pPr>
              <w:pStyle w:val="17"/>
              <w:keepNext/>
              <w:spacing w:after="0" w:line="440" w:lineRule="exact"/>
              <w:ind w:left="63" w:right="63"/>
              <w:rPr>
                <w:rFonts w:ascii="宋体" w:hAnsi="宋体"/>
                <w:color w:val="auto"/>
                <w:kern w:val="2"/>
                <w:sz w:val="28"/>
                <w:szCs w:val="30"/>
              </w:rPr>
            </w:pPr>
          </w:p>
        </w:tc>
        <w:tc>
          <w:tcPr>
            <w:tcW w:w="2359" w:type="dxa"/>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ascii="宋体" w:hAnsi="宋体"/>
                <w:color w:val="auto"/>
                <w:kern w:val="2"/>
                <w:sz w:val="28"/>
                <w:szCs w:val="30"/>
              </w:rPr>
            </w:pPr>
          </w:p>
        </w:tc>
        <w:tc>
          <w:tcPr>
            <w:tcW w:w="1984" w:type="dxa"/>
            <w:noWrap w:val="0"/>
            <w:vAlign w:val="top"/>
          </w:tcPr>
          <w:p>
            <w:pPr>
              <w:pStyle w:val="17"/>
              <w:keepNext/>
              <w:spacing w:after="0" w:line="440" w:lineRule="exact"/>
              <w:ind w:left="63" w:right="63"/>
              <w:rPr>
                <w:rFonts w:ascii="宋体" w:hAnsi="宋体"/>
                <w:color w:val="auto"/>
                <w:kern w:val="2"/>
                <w:sz w:val="28"/>
                <w:szCs w:val="30"/>
              </w:rPr>
            </w:pPr>
          </w:p>
        </w:tc>
        <w:tc>
          <w:tcPr>
            <w:tcW w:w="851" w:type="dxa"/>
            <w:noWrap w:val="0"/>
            <w:vAlign w:val="top"/>
          </w:tcPr>
          <w:p>
            <w:pPr>
              <w:pStyle w:val="17"/>
              <w:keepNext/>
              <w:spacing w:after="0" w:line="440" w:lineRule="exact"/>
              <w:ind w:left="63" w:right="63"/>
              <w:rPr>
                <w:rFonts w:ascii="宋体" w:hAnsi="宋体"/>
                <w:color w:val="auto"/>
                <w:kern w:val="2"/>
                <w:sz w:val="28"/>
                <w:szCs w:val="30"/>
              </w:rPr>
            </w:pPr>
          </w:p>
        </w:tc>
        <w:tc>
          <w:tcPr>
            <w:tcW w:w="774" w:type="dxa"/>
            <w:noWrap w:val="0"/>
            <w:vAlign w:val="top"/>
          </w:tcPr>
          <w:p>
            <w:pPr>
              <w:pStyle w:val="17"/>
              <w:keepNext/>
              <w:spacing w:after="0" w:line="440" w:lineRule="exact"/>
              <w:ind w:left="63" w:right="63"/>
              <w:rPr>
                <w:rFonts w:ascii="宋体" w:hAnsi="宋体"/>
                <w:color w:val="auto"/>
                <w:kern w:val="2"/>
                <w:sz w:val="28"/>
                <w:szCs w:val="30"/>
              </w:rPr>
            </w:pPr>
          </w:p>
        </w:tc>
        <w:tc>
          <w:tcPr>
            <w:tcW w:w="1352" w:type="dxa"/>
            <w:noWrap w:val="0"/>
            <w:vAlign w:val="top"/>
          </w:tcPr>
          <w:p>
            <w:pPr>
              <w:pStyle w:val="17"/>
              <w:keepNext/>
              <w:spacing w:after="0" w:line="440" w:lineRule="exact"/>
              <w:ind w:left="63" w:right="63"/>
              <w:rPr>
                <w:rFonts w:ascii="宋体" w:hAnsi="宋体"/>
                <w:color w:val="auto"/>
                <w:kern w:val="2"/>
                <w:sz w:val="28"/>
                <w:szCs w:val="30"/>
              </w:rPr>
            </w:pPr>
          </w:p>
        </w:tc>
        <w:tc>
          <w:tcPr>
            <w:tcW w:w="1418" w:type="dxa"/>
            <w:noWrap w:val="0"/>
            <w:vAlign w:val="top"/>
          </w:tcPr>
          <w:p>
            <w:pPr>
              <w:pStyle w:val="17"/>
              <w:keepNext/>
              <w:spacing w:after="0" w:line="440" w:lineRule="exact"/>
              <w:ind w:left="63" w:right="63"/>
              <w:rPr>
                <w:rFonts w:ascii="宋体" w:hAnsi="宋体"/>
                <w:color w:val="auto"/>
                <w:kern w:val="2"/>
                <w:sz w:val="28"/>
                <w:szCs w:val="30"/>
              </w:rPr>
            </w:pPr>
          </w:p>
        </w:tc>
        <w:tc>
          <w:tcPr>
            <w:tcW w:w="2359" w:type="dxa"/>
            <w:noWrap w:val="0"/>
            <w:vAlign w:val="top"/>
          </w:tcPr>
          <w:p>
            <w:pPr>
              <w:pStyle w:val="17"/>
              <w:keepNext/>
              <w:spacing w:after="0" w:line="440" w:lineRule="exact"/>
              <w:ind w:left="63" w:right="63"/>
              <w:rPr>
                <w:rFonts w:ascii="宋体" w:hAnsi="宋体"/>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17"/>
              <w:keepNext/>
              <w:spacing w:after="0" w:line="440" w:lineRule="exact"/>
              <w:ind w:left="63" w:right="63"/>
              <w:rPr>
                <w:rFonts w:eastAsia="仿宋_GB2312"/>
                <w:color w:val="auto"/>
                <w:kern w:val="2"/>
                <w:sz w:val="28"/>
                <w:szCs w:val="30"/>
              </w:rPr>
            </w:pPr>
          </w:p>
        </w:tc>
        <w:tc>
          <w:tcPr>
            <w:tcW w:w="1984" w:type="dxa"/>
            <w:noWrap w:val="0"/>
            <w:vAlign w:val="top"/>
          </w:tcPr>
          <w:p>
            <w:pPr>
              <w:pStyle w:val="17"/>
              <w:keepNext/>
              <w:spacing w:after="0" w:line="440" w:lineRule="exact"/>
              <w:ind w:left="63" w:right="63"/>
              <w:rPr>
                <w:rFonts w:eastAsia="仿宋_GB2312"/>
                <w:color w:val="auto"/>
                <w:kern w:val="2"/>
                <w:sz w:val="28"/>
                <w:szCs w:val="30"/>
              </w:rPr>
            </w:pPr>
          </w:p>
        </w:tc>
        <w:tc>
          <w:tcPr>
            <w:tcW w:w="851" w:type="dxa"/>
            <w:noWrap w:val="0"/>
            <w:vAlign w:val="top"/>
          </w:tcPr>
          <w:p>
            <w:pPr>
              <w:pStyle w:val="17"/>
              <w:keepNext/>
              <w:spacing w:after="0" w:line="440" w:lineRule="exact"/>
              <w:ind w:left="63" w:right="63"/>
              <w:rPr>
                <w:rFonts w:eastAsia="仿宋_GB2312"/>
                <w:color w:val="auto"/>
                <w:kern w:val="2"/>
                <w:sz w:val="28"/>
                <w:szCs w:val="30"/>
              </w:rPr>
            </w:pPr>
          </w:p>
        </w:tc>
        <w:tc>
          <w:tcPr>
            <w:tcW w:w="774" w:type="dxa"/>
            <w:noWrap w:val="0"/>
            <w:vAlign w:val="top"/>
          </w:tcPr>
          <w:p>
            <w:pPr>
              <w:pStyle w:val="17"/>
              <w:keepNext/>
              <w:spacing w:after="0" w:line="440" w:lineRule="exact"/>
              <w:ind w:left="63" w:right="63"/>
              <w:rPr>
                <w:rFonts w:eastAsia="仿宋_GB2312"/>
                <w:color w:val="auto"/>
                <w:kern w:val="2"/>
                <w:sz w:val="28"/>
                <w:szCs w:val="30"/>
              </w:rPr>
            </w:pPr>
          </w:p>
        </w:tc>
        <w:tc>
          <w:tcPr>
            <w:tcW w:w="1352" w:type="dxa"/>
            <w:noWrap w:val="0"/>
            <w:vAlign w:val="top"/>
          </w:tcPr>
          <w:p>
            <w:pPr>
              <w:pStyle w:val="17"/>
              <w:keepNext/>
              <w:spacing w:after="0" w:line="440" w:lineRule="exact"/>
              <w:ind w:left="63" w:right="63"/>
              <w:rPr>
                <w:rFonts w:eastAsia="仿宋_GB2312"/>
                <w:color w:val="auto"/>
                <w:kern w:val="2"/>
                <w:sz w:val="28"/>
                <w:szCs w:val="30"/>
              </w:rPr>
            </w:pPr>
          </w:p>
        </w:tc>
        <w:tc>
          <w:tcPr>
            <w:tcW w:w="1418" w:type="dxa"/>
            <w:noWrap w:val="0"/>
            <w:vAlign w:val="top"/>
          </w:tcPr>
          <w:p>
            <w:pPr>
              <w:pStyle w:val="17"/>
              <w:keepNext/>
              <w:spacing w:after="0" w:line="440" w:lineRule="exact"/>
              <w:ind w:left="63" w:right="63"/>
              <w:rPr>
                <w:rFonts w:eastAsia="仿宋_GB2312"/>
                <w:color w:val="auto"/>
                <w:kern w:val="2"/>
                <w:sz w:val="28"/>
                <w:szCs w:val="30"/>
              </w:rPr>
            </w:pPr>
          </w:p>
        </w:tc>
        <w:tc>
          <w:tcPr>
            <w:tcW w:w="2359" w:type="dxa"/>
            <w:noWrap w:val="0"/>
            <w:vAlign w:val="top"/>
          </w:tcPr>
          <w:p>
            <w:pPr>
              <w:pStyle w:val="17"/>
              <w:keepNext/>
              <w:spacing w:after="0" w:line="440" w:lineRule="exact"/>
              <w:ind w:left="63" w:right="63"/>
              <w:rPr>
                <w:rFonts w:eastAsia="仿宋_GB2312"/>
                <w:color w:val="auto"/>
                <w:kern w:val="2"/>
                <w:sz w:val="28"/>
                <w:szCs w:val="30"/>
              </w:rPr>
            </w:pPr>
          </w:p>
        </w:tc>
      </w:tr>
    </w:tbl>
    <w:p>
      <w:pPr>
        <w:spacing w:line="440" w:lineRule="exact"/>
        <w:rPr>
          <w:rFonts w:ascii="Times New Roman" w:hAnsi="Times New Roman" w:eastAsia="仿宋_GB2312"/>
          <w:color w:val="auto"/>
          <w:sz w:val="30"/>
          <w:szCs w:val="30"/>
        </w:rPr>
      </w:pPr>
    </w:p>
    <w:p>
      <w:pPr>
        <w:spacing w:before="156" w:beforeLines="50" w:after="156" w:afterLines="50" w:line="440" w:lineRule="exact"/>
        <w:jc w:val="center"/>
        <w:rPr>
          <w:rFonts w:ascii="宋体" w:hAnsi="宋体"/>
          <w:color w:val="auto"/>
          <w:sz w:val="30"/>
          <w:szCs w:val="30"/>
        </w:rPr>
      </w:pPr>
      <w:r>
        <w:rPr>
          <w:rFonts w:ascii="Times New Roman" w:hAnsi="Times New Roman" w:eastAsia="仿宋_GB2312"/>
          <w:color w:val="auto"/>
          <w:sz w:val="30"/>
          <w:szCs w:val="30"/>
        </w:rPr>
        <w:br w:type="page"/>
      </w:r>
      <w:r>
        <w:rPr>
          <w:rFonts w:ascii="宋体" w:hAnsi="宋体"/>
          <w:color w:val="auto"/>
          <w:sz w:val="30"/>
          <w:szCs w:val="30"/>
        </w:rPr>
        <w:t>11-3：专业工程暂估价表</w:t>
      </w:r>
    </w:p>
    <w:tbl>
      <w:tblPr>
        <w:tblStyle w:val="4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21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序号</w:t>
            </w:r>
          </w:p>
        </w:tc>
        <w:tc>
          <w:tcPr>
            <w:tcW w:w="1984"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专业工程名称</w:t>
            </w:r>
          </w:p>
        </w:tc>
        <w:tc>
          <w:tcPr>
            <w:tcW w:w="4678"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工程内容</w:t>
            </w:r>
          </w:p>
        </w:tc>
        <w:tc>
          <w:tcPr>
            <w:tcW w:w="2112" w:type="dxa"/>
            <w:tcBorders>
              <w:top w:val="single" w:color="auto" w:sz="12" w:space="0"/>
              <w:bottom w:val="double" w:color="auto" w:sz="6" w:space="0"/>
            </w:tcBorders>
            <w:noWrap w:val="0"/>
            <w:vAlign w:val="top"/>
          </w:tcPr>
          <w:p>
            <w:pPr>
              <w:pStyle w:val="17"/>
              <w:keepNext/>
              <w:spacing w:after="0" w:line="440" w:lineRule="exact"/>
              <w:ind w:left="63" w:right="63"/>
              <w:rPr>
                <w:rFonts w:ascii="宋体" w:hAnsi="宋体"/>
                <w:color w:val="auto"/>
                <w:kern w:val="2"/>
                <w:sz w:val="28"/>
                <w:szCs w:val="30"/>
              </w:rPr>
            </w:pPr>
            <w:r>
              <w:rPr>
                <w:rFonts w:ascii="宋体" w:hAnsi="宋体"/>
                <w:color w:val="auto"/>
                <w:kern w:val="2"/>
                <w:sz w:val="28"/>
                <w:szCs w:val="30"/>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1"/>
                <w:szCs w:val="21"/>
              </w:rPr>
            </w:pPr>
          </w:p>
        </w:tc>
        <w:tc>
          <w:tcPr>
            <w:tcW w:w="1984"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1"/>
                <w:szCs w:val="21"/>
              </w:rPr>
            </w:pPr>
          </w:p>
        </w:tc>
        <w:tc>
          <w:tcPr>
            <w:tcW w:w="4678"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1"/>
                <w:szCs w:val="21"/>
              </w:rPr>
            </w:pPr>
          </w:p>
        </w:tc>
        <w:tc>
          <w:tcPr>
            <w:tcW w:w="2112" w:type="dxa"/>
            <w:tcBorders>
              <w:top w:val="double" w:color="auto" w:sz="6" w:space="0"/>
              <w:bottom w:val="single" w:color="auto" w:sz="6" w:space="0"/>
            </w:tcBorders>
            <w:noWrap w:val="0"/>
            <w:vAlign w:val="top"/>
          </w:tcPr>
          <w:p>
            <w:pPr>
              <w:pStyle w:val="17"/>
              <w:keepNext/>
              <w:spacing w:after="0" w:line="440" w:lineRule="exact"/>
              <w:ind w:left="63" w:right="63"/>
              <w:rPr>
                <w:rFonts w:ascii="宋体" w:hAnsi="宋体"/>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c>
          <w:tcPr>
            <w:tcW w:w="1984"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c>
          <w:tcPr>
            <w:tcW w:w="4678"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c>
          <w:tcPr>
            <w:tcW w:w="2112"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c>
          <w:tcPr>
            <w:tcW w:w="1984"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c>
          <w:tcPr>
            <w:tcW w:w="4678"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c>
          <w:tcPr>
            <w:tcW w:w="2112" w:type="dxa"/>
            <w:tcBorders>
              <w:top w:val="nil"/>
            </w:tcBorders>
            <w:noWrap w:val="0"/>
            <w:vAlign w:val="top"/>
          </w:tcPr>
          <w:p>
            <w:pPr>
              <w:pStyle w:val="17"/>
              <w:keepNext/>
              <w:spacing w:after="0" w:line="440" w:lineRule="exact"/>
              <w:ind w:left="63" w:right="63"/>
              <w:rPr>
                <w:rFonts w:ascii="宋体" w:hAnsi="宋体"/>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rFonts w:ascii="宋体" w:hAnsi="宋体"/>
                <w:color w:val="auto"/>
                <w:kern w:val="2"/>
                <w:sz w:val="21"/>
                <w:szCs w:val="21"/>
              </w:rPr>
            </w:pPr>
          </w:p>
        </w:tc>
        <w:tc>
          <w:tcPr>
            <w:tcW w:w="1984" w:type="dxa"/>
            <w:noWrap w:val="0"/>
            <w:vAlign w:val="top"/>
          </w:tcPr>
          <w:p>
            <w:pPr>
              <w:pStyle w:val="17"/>
              <w:keepNext/>
              <w:spacing w:after="0" w:line="440" w:lineRule="exact"/>
              <w:ind w:left="63" w:right="63"/>
              <w:rPr>
                <w:rFonts w:ascii="宋体" w:hAnsi="宋体"/>
                <w:color w:val="auto"/>
                <w:kern w:val="2"/>
                <w:sz w:val="21"/>
                <w:szCs w:val="21"/>
              </w:rPr>
            </w:pPr>
          </w:p>
        </w:tc>
        <w:tc>
          <w:tcPr>
            <w:tcW w:w="4678" w:type="dxa"/>
            <w:noWrap w:val="0"/>
            <w:vAlign w:val="top"/>
          </w:tcPr>
          <w:p>
            <w:pPr>
              <w:pStyle w:val="17"/>
              <w:keepNext/>
              <w:spacing w:after="0" w:line="440" w:lineRule="exact"/>
              <w:ind w:left="63" w:right="63"/>
              <w:rPr>
                <w:rFonts w:ascii="宋体" w:hAnsi="宋体"/>
                <w:color w:val="auto"/>
                <w:kern w:val="2"/>
                <w:sz w:val="21"/>
                <w:szCs w:val="21"/>
              </w:rPr>
            </w:pPr>
          </w:p>
        </w:tc>
        <w:tc>
          <w:tcPr>
            <w:tcW w:w="2112" w:type="dxa"/>
            <w:noWrap w:val="0"/>
            <w:vAlign w:val="top"/>
          </w:tcPr>
          <w:p>
            <w:pPr>
              <w:pStyle w:val="17"/>
              <w:keepNext/>
              <w:spacing w:after="0" w:line="440" w:lineRule="exact"/>
              <w:ind w:left="63" w:right="63"/>
              <w:rPr>
                <w:rFonts w:ascii="宋体" w:hAnsi="宋体"/>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17"/>
              <w:keepNext/>
              <w:spacing w:after="0" w:line="440" w:lineRule="exact"/>
              <w:ind w:left="63" w:right="63"/>
              <w:rPr>
                <w:color w:val="auto"/>
                <w:kern w:val="2"/>
                <w:sz w:val="21"/>
                <w:szCs w:val="21"/>
              </w:rPr>
            </w:pPr>
          </w:p>
        </w:tc>
        <w:tc>
          <w:tcPr>
            <w:tcW w:w="1984" w:type="dxa"/>
            <w:noWrap w:val="0"/>
            <w:vAlign w:val="top"/>
          </w:tcPr>
          <w:p>
            <w:pPr>
              <w:pStyle w:val="17"/>
              <w:keepNext/>
              <w:spacing w:after="0" w:line="440" w:lineRule="exact"/>
              <w:ind w:left="63" w:right="63"/>
              <w:rPr>
                <w:color w:val="auto"/>
                <w:kern w:val="2"/>
                <w:sz w:val="21"/>
                <w:szCs w:val="21"/>
              </w:rPr>
            </w:pPr>
          </w:p>
        </w:tc>
        <w:tc>
          <w:tcPr>
            <w:tcW w:w="4678" w:type="dxa"/>
            <w:noWrap w:val="0"/>
            <w:vAlign w:val="top"/>
          </w:tcPr>
          <w:p>
            <w:pPr>
              <w:pStyle w:val="17"/>
              <w:keepNext/>
              <w:spacing w:after="0" w:line="440" w:lineRule="exact"/>
              <w:ind w:left="63" w:right="63"/>
              <w:rPr>
                <w:color w:val="auto"/>
                <w:kern w:val="2"/>
                <w:sz w:val="21"/>
                <w:szCs w:val="21"/>
              </w:rPr>
            </w:pPr>
          </w:p>
        </w:tc>
        <w:tc>
          <w:tcPr>
            <w:tcW w:w="2112" w:type="dxa"/>
            <w:noWrap w:val="0"/>
            <w:vAlign w:val="top"/>
          </w:tcPr>
          <w:p>
            <w:pPr>
              <w:pStyle w:val="17"/>
              <w:keepNext/>
              <w:spacing w:after="0" w:line="440" w:lineRule="exact"/>
              <w:ind w:left="63" w:right="63"/>
              <w:rPr>
                <w:color w:val="auto"/>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653" w:type="dxa"/>
            <w:gridSpan w:val="4"/>
            <w:noWrap w:val="0"/>
            <w:vAlign w:val="top"/>
          </w:tcPr>
          <w:p>
            <w:pPr>
              <w:pStyle w:val="17"/>
              <w:keepNext/>
              <w:spacing w:after="0" w:line="440" w:lineRule="exact"/>
              <w:ind w:left="63" w:right="63"/>
              <w:rPr>
                <w:color w:val="auto"/>
                <w:kern w:val="2"/>
                <w:sz w:val="21"/>
                <w:szCs w:val="21"/>
              </w:rPr>
            </w:pPr>
            <w:r>
              <w:rPr>
                <w:rFonts w:eastAsia="仿宋_GB2312"/>
                <w:color w:val="auto"/>
                <w:kern w:val="2"/>
                <w:sz w:val="28"/>
                <w:szCs w:val="30"/>
              </w:rPr>
              <w:t>小计：</w:t>
            </w:r>
          </w:p>
        </w:tc>
      </w:tr>
    </w:tbl>
    <w:p>
      <w:pPr>
        <w:rPr>
          <w:rFonts w:ascii="Times New Roman" w:hAnsi="Times New Roman"/>
          <w:color w:val="auto"/>
        </w:rPr>
      </w:pPr>
    </w:p>
    <w:p>
      <w:pPr>
        <w:outlineLvl w:val="9"/>
        <w:rPr>
          <w:rFonts w:hint="eastAsia" w:ascii="宋体" w:hAnsi="宋体" w:cs="宋体"/>
          <w:b/>
        </w:rPr>
      </w:pPr>
    </w:p>
    <w:p>
      <w:pPr>
        <w:pStyle w:val="29"/>
        <w:snapToGrid w:val="0"/>
        <w:spacing w:line="360" w:lineRule="auto"/>
        <w:rPr>
          <w:rFonts w:hint="eastAsia" w:ascii="宋体" w:hAnsi="宋体" w:eastAsia="宋体" w:cs="宋体"/>
          <w:b/>
          <w:bCs/>
        </w:rPr>
      </w:pPr>
    </w:p>
    <w:sectPr>
      <w:headerReference r:id="rId5" w:type="default"/>
      <w:footerReference r:id="rId6" w:type="default"/>
      <w:pgSz w:w="12240" w:h="15840"/>
      <w:pgMar w:top="1134" w:right="1247" w:bottom="1134" w:left="1247"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ascii="Times New Roman" w:hAnsi="Times New Roman" w:eastAsia="仿宋_GB2312"/>
        <w:sz w:val="24"/>
      </w:rPr>
    </w:pPr>
    <w:r>
      <w:rPr>
        <w:rFonts w:ascii="Times New Roman" w:hAnsi="Times New Roman" w:eastAsia="仿宋_GB2312"/>
        <w:sz w:val="24"/>
      </w:rPr>
      <w:fldChar w:fldCharType="begin"/>
    </w:r>
    <w:r>
      <w:rPr>
        <w:rFonts w:ascii="Times New Roman" w:hAnsi="Times New Roman" w:eastAsia="仿宋_GB2312"/>
        <w:sz w:val="24"/>
      </w:rPr>
      <w:instrText xml:space="preserve"> PAGE  \* MERGEFORMAT </w:instrText>
    </w:r>
    <w:r>
      <w:rPr>
        <w:rFonts w:ascii="Times New Roman" w:hAnsi="Times New Roman" w:eastAsia="仿宋_GB2312"/>
        <w:sz w:val="24"/>
      </w:rPr>
      <w:fldChar w:fldCharType="separate"/>
    </w:r>
    <w:r>
      <w:t>9</w:t>
    </w:r>
    <w:r>
      <w:rPr>
        <w:rFonts w:ascii="Times New Roman" w:hAnsi="Times New Roman" w:eastAsia="仿宋_GB2312"/>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2085" cy="3175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72085" cy="317500"/>
                      </a:xfrm>
                      <a:prstGeom prst="rect">
                        <a:avLst/>
                      </a:prstGeom>
                      <a:noFill/>
                      <a:ln>
                        <a:noFill/>
                      </a:ln>
                    </wps:spPr>
                    <wps:txbx>
                      <w:txbxContent>
                        <w:p>
                          <w:pPr>
                            <w:pStyle w:val="27"/>
                            <w:rPr>
                              <w:rStyle w:val="46"/>
                            </w:rPr>
                          </w:pPr>
                          <w:r>
                            <w:fldChar w:fldCharType="begin"/>
                          </w:r>
                          <w:r>
                            <w:rPr>
                              <w:rStyle w:val="46"/>
                            </w:rPr>
                            <w:instrText xml:space="preserve">PAGE  </w:instrText>
                          </w:r>
                          <w:r>
                            <w:fldChar w:fldCharType="separate"/>
                          </w:r>
                          <w:r>
                            <w:rPr>
                              <w:rStyle w:val="46"/>
                            </w:rPr>
                            <w:t>183</w:t>
                          </w:r>
                          <w:r>
                            <w:fldChar w:fldCharType="end"/>
                          </w:r>
                        </w:p>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25pt;width:13.55pt;mso-position-horizontal:center;mso-position-horizontal-relative:margin;mso-wrap-style:none;z-index:251659264;mso-width-relative:page;mso-height-relative:page;" filled="f" stroked="f" coordsize="21600,21600" o:gfxdata="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h5gJxtEAAAADAQAADwAAAAAAAAABACAAAAAiAAAAZHJzL2Rv&#10;d25yZXYueG1sUEsBAhQAFAAAAAgAh07iQOGy0YDPAQAAlwMAAA4AAAAAAAAAAQAgAAAAIAEAAGRy&#10;cy9lMm9Eb2MueG1sUEsFBgAAAAAGAAYAWQEAAGEFAAAAAA==&#10;">
              <v:fill on="f" focussize="0,0"/>
              <v:stroke on="f"/>
              <v:imagedata o:title=""/>
              <o:lock v:ext="edit" aspectratio="f"/>
              <v:textbox inset="0mm,0mm,0mm,0mm" style="mso-fit-shape-to-text:t;">
                <w:txbxContent>
                  <w:p>
                    <w:pPr>
                      <w:pStyle w:val="27"/>
                      <w:rPr>
                        <w:rStyle w:val="46"/>
                      </w:rPr>
                    </w:pPr>
                    <w:r>
                      <w:fldChar w:fldCharType="begin"/>
                    </w:r>
                    <w:r>
                      <w:rPr>
                        <w:rStyle w:val="46"/>
                      </w:rPr>
                      <w:instrText xml:space="preserve">PAGE  </w:instrText>
                    </w:r>
                    <w:r>
                      <w:fldChar w:fldCharType="separate"/>
                    </w:r>
                    <w:r>
                      <w:rPr>
                        <w:rStyle w:val="46"/>
                      </w:rPr>
                      <w:t>183</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926A9C"/>
    <w:multiLevelType w:val="singleLevel"/>
    <w:tmpl w:val="B3926A9C"/>
    <w:lvl w:ilvl="0" w:tentative="0">
      <w:start w:val="6"/>
      <w:numFmt w:val="chineseCounting"/>
      <w:suff w:val="nothing"/>
      <w:lvlText w:val="%1、"/>
      <w:lvlJc w:val="left"/>
      <w:rPr>
        <w:rFonts w:hint="eastAsia"/>
      </w:rPr>
    </w:lvl>
  </w:abstractNum>
  <w:abstractNum w:abstractNumId="1">
    <w:nsid w:val="00000006"/>
    <w:multiLevelType w:val="singleLevel"/>
    <w:tmpl w:val="00000006"/>
    <w:lvl w:ilvl="0" w:tentative="0">
      <w:start w:val="1"/>
      <w:numFmt w:val="decimal"/>
      <w:suff w:val="nothing"/>
      <w:lvlText w:val="（%1）"/>
      <w:lvlJc w:val="left"/>
    </w:lvl>
  </w:abstractNum>
  <w:abstractNum w:abstractNumId="2">
    <w:nsid w:val="44B77664"/>
    <w:multiLevelType w:val="multilevel"/>
    <w:tmpl w:val="44B77664"/>
    <w:lvl w:ilvl="0" w:tentative="0">
      <w:start w:val="1"/>
      <w:numFmt w:val="decimal"/>
      <w:lvlText w:val="%1."/>
      <w:lvlJc w:val="left"/>
      <w:pPr>
        <w:ind w:left="520" w:hanging="420"/>
      </w:pPr>
      <w:rPr>
        <w:rFonts w:hint="eastAsia"/>
      </w:rPr>
    </w:lvl>
    <w:lvl w:ilvl="1" w:tentative="0">
      <w:start w:val="1"/>
      <w:numFmt w:val="lowerLetter"/>
      <w:lvlText w:val="%2)"/>
      <w:lvlJc w:val="left"/>
      <w:pPr>
        <w:ind w:left="940" w:hanging="420"/>
      </w:pPr>
      <w:rPr>
        <w:rFonts w:hint="eastAsia"/>
      </w:rPr>
    </w:lvl>
    <w:lvl w:ilvl="2" w:tentative="0">
      <w:start w:val="1"/>
      <w:numFmt w:val="lowerRoman"/>
      <w:lvlText w:val="%3."/>
      <w:lvlJc w:val="right"/>
      <w:pPr>
        <w:ind w:left="1360" w:hanging="420"/>
      </w:pPr>
      <w:rPr>
        <w:rFonts w:hint="eastAsia"/>
      </w:rPr>
    </w:lvl>
    <w:lvl w:ilvl="3" w:tentative="0">
      <w:start w:val="1"/>
      <w:numFmt w:val="decimal"/>
      <w:pStyle w:val="103"/>
      <w:suff w:val="nothing"/>
      <w:lvlText w:val="%4."/>
      <w:lvlJc w:val="left"/>
      <w:pPr>
        <w:ind w:left="1780" w:hanging="420"/>
      </w:pPr>
      <w:rPr>
        <w:rFonts w:hint="eastAsia"/>
      </w:rPr>
    </w:lvl>
    <w:lvl w:ilvl="4" w:tentative="0">
      <w:start w:val="1"/>
      <w:numFmt w:val="lowerLetter"/>
      <w:lvlText w:val="%5)"/>
      <w:lvlJc w:val="left"/>
      <w:pPr>
        <w:ind w:left="2200" w:hanging="420"/>
      </w:pPr>
      <w:rPr>
        <w:rFonts w:hint="eastAsia"/>
      </w:rPr>
    </w:lvl>
    <w:lvl w:ilvl="5" w:tentative="0">
      <w:start w:val="1"/>
      <w:numFmt w:val="lowerRoman"/>
      <w:lvlText w:val="%6."/>
      <w:lvlJc w:val="right"/>
      <w:pPr>
        <w:ind w:left="2620" w:hanging="420"/>
      </w:pPr>
      <w:rPr>
        <w:rFonts w:hint="eastAsia"/>
      </w:rPr>
    </w:lvl>
    <w:lvl w:ilvl="6" w:tentative="0">
      <w:start w:val="1"/>
      <w:numFmt w:val="decimal"/>
      <w:lvlText w:val="%7."/>
      <w:lvlJc w:val="left"/>
      <w:pPr>
        <w:ind w:left="3040" w:hanging="420"/>
      </w:pPr>
      <w:rPr>
        <w:rFonts w:hint="eastAsia"/>
      </w:rPr>
    </w:lvl>
    <w:lvl w:ilvl="7" w:tentative="0">
      <w:start w:val="1"/>
      <w:numFmt w:val="lowerLetter"/>
      <w:lvlText w:val="%8)"/>
      <w:lvlJc w:val="left"/>
      <w:pPr>
        <w:ind w:left="3460" w:hanging="420"/>
      </w:pPr>
      <w:rPr>
        <w:rFonts w:hint="eastAsia"/>
      </w:rPr>
    </w:lvl>
    <w:lvl w:ilvl="8" w:tentative="0">
      <w:start w:val="1"/>
      <w:numFmt w:val="lowerRoman"/>
      <w:lvlText w:val="%9."/>
      <w:lvlJc w:val="right"/>
      <w:pPr>
        <w:ind w:left="3880" w:hanging="42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240"/>
  <w:drawingGridVerticalSpacing w:val="-7946"/>
  <w:displayVerticalDrawingGridEvery w:val="2"/>
  <w:doNotUseMarginsForDrawingGridOrigin w:val="1"/>
  <w:drawingGridHorizontalOrigin w:val="1800"/>
  <w:drawingGridVerticalOrigin w:val="1440"/>
  <w:doNotShadeFormData w:val="1"/>
  <w:noPunctuationKerning w:val="1"/>
  <w:characterSpacingControl w:val="doNotCompress"/>
  <w:doNotValidateAgainstSchema/>
  <w:doNotDemarcateInvalidXml/>
  <w:hdrShapeDefaults>
    <o:shapelayout v:ext="edit">
      <o:idmap v:ext="edit" data="2"/>
    </o:shapelayout>
  </w:hdrShapeDefaults>
  <w:compat>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5YzYxNTY5YmU5Mjg4ODkyOTc0MjA1MTYxYTUwYzkifQ=="/>
    <w:docVar w:name="KSO_WPS_MARK_KEY" w:val="9b6e9ff0-b516-4b8b-945a-5b6b27654bc9"/>
  </w:docVars>
  <w:rsids>
    <w:rsidRoot w:val="008343B6"/>
    <w:rsid w:val="000001BE"/>
    <w:rsid w:val="00001B50"/>
    <w:rsid w:val="00001F95"/>
    <w:rsid w:val="000039A3"/>
    <w:rsid w:val="000051AB"/>
    <w:rsid w:val="00006C64"/>
    <w:rsid w:val="00007B9B"/>
    <w:rsid w:val="000100A9"/>
    <w:rsid w:val="00012772"/>
    <w:rsid w:val="00014083"/>
    <w:rsid w:val="0002036A"/>
    <w:rsid w:val="0002350A"/>
    <w:rsid w:val="000255F9"/>
    <w:rsid w:val="00026424"/>
    <w:rsid w:val="00026CC3"/>
    <w:rsid w:val="00027837"/>
    <w:rsid w:val="00034B7E"/>
    <w:rsid w:val="0003584A"/>
    <w:rsid w:val="00035FBB"/>
    <w:rsid w:val="00043A4F"/>
    <w:rsid w:val="00044F92"/>
    <w:rsid w:val="00051BA9"/>
    <w:rsid w:val="00052E02"/>
    <w:rsid w:val="0005429C"/>
    <w:rsid w:val="00055B9B"/>
    <w:rsid w:val="00055DCD"/>
    <w:rsid w:val="00066C49"/>
    <w:rsid w:val="0006796B"/>
    <w:rsid w:val="00067FAE"/>
    <w:rsid w:val="00072B7C"/>
    <w:rsid w:val="0007705A"/>
    <w:rsid w:val="000772E4"/>
    <w:rsid w:val="00077362"/>
    <w:rsid w:val="00077EC1"/>
    <w:rsid w:val="000804C7"/>
    <w:rsid w:val="00085162"/>
    <w:rsid w:val="00085630"/>
    <w:rsid w:val="000865C4"/>
    <w:rsid w:val="00087D5D"/>
    <w:rsid w:val="0009097A"/>
    <w:rsid w:val="00095437"/>
    <w:rsid w:val="0009681C"/>
    <w:rsid w:val="000969B9"/>
    <w:rsid w:val="0009709A"/>
    <w:rsid w:val="000A24C7"/>
    <w:rsid w:val="000A5038"/>
    <w:rsid w:val="000A557E"/>
    <w:rsid w:val="000A7133"/>
    <w:rsid w:val="000B0A63"/>
    <w:rsid w:val="000B13B2"/>
    <w:rsid w:val="000B1EA5"/>
    <w:rsid w:val="000B1FAF"/>
    <w:rsid w:val="000B4292"/>
    <w:rsid w:val="000B6654"/>
    <w:rsid w:val="000B6EB9"/>
    <w:rsid w:val="000C0EF7"/>
    <w:rsid w:val="000C1C4A"/>
    <w:rsid w:val="000C3929"/>
    <w:rsid w:val="000C3CC6"/>
    <w:rsid w:val="000C517D"/>
    <w:rsid w:val="000C5280"/>
    <w:rsid w:val="000C651C"/>
    <w:rsid w:val="000D0041"/>
    <w:rsid w:val="000D043C"/>
    <w:rsid w:val="000E304D"/>
    <w:rsid w:val="000E4DDC"/>
    <w:rsid w:val="000E56AF"/>
    <w:rsid w:val="000E6AA2"/>
    <w:rsid w:val="000F2154"/>
    <w:rsid w:val="000F2282"/>
    <w:rsid w:val="000F616D"/>
    <w:rsid w:val="000F63A3"/>
    <w:rsid w:val="000F7B64"/>
    <w:rsid w:val="00100BF4"/>
    <w:rsid w:val="00101FF7"/>
    <w:rsid w:val="0010511B"/>
    <w:rsid w:val="00106D33"/>
    <w:rsid w:val="00110C63"/>
    <w:rsid w:val="001132D2"/>
    <w:rsid w:val="001145C5"/>
    <w:rsid w:val="00114788"/>
    <w:rsid w:val="00114E2A"/>
    <w:rsid w:val="0011524F"/>
    <w:rsid w:val="001161C2"/>
    <w:rsid w:val="00120263"/>
    <w:rsid w:val="00121F17"/>
    <w:rsid w:val="00122064"/>
    <w:rsid w:val="00123399"/>
    <w:rsid w:val="00126BE4"/>
    <w:rsid w:val="00131DD2"/>
    <w:rsid w:val="001329E7"/>
    <w:rsid w:val="00133294"/>
    <w:rsid w:val="00135834"/>
    <w:rsid w:val="00136B07"/>
    <w:rsid w:val="0013799F"/>
    <w:rsid w:val="0014044F"/>
    <w:rsid w:val="00140956"/>
    <w:rsid w:val="0014232B"/>
    <w:rsid w:val="00142934"/>
    <w:rsid w:val="00142A82"/>
    <w:rsid w:val="00144FA8"/>
    <w:rsid w:val="001517A9"/>
    <w:rsid w:val="0015244E"/>
    <w:rsid w:val="001533CF"/>
    <w:rsid w:val="001537FA"/>
    <w:rsid w:val="00154A0B"/>
    <w:rsid w:val="0015510C"/>
    <w:rsid w:val="0016098A"/>
    <w:rsid w:val="00162893"/>
    <w:rsid w:val="0016317F"/>
    <w:rsid w:val="00163D20"/>
    <w:rsid w:val="00164598"/>
    <w:rsid w:val="0016784C"/>
    <w:rsid w:val="0017147F"/>
    <w:rsid w:val="00175841"/>
    <w:rsid w:val="00177F48"/>
    <w:rsid w:val="00180001"/>
    <w:rsid w:val="001906A2"/>
    <w:rsid w:val="001909A2"/>
    <w:rsid w:val="0019136A"/>
    <w:rsid w:val="001919D9"/>
    <w:rsid w:val="00192676"/>
    <w:rsid w:val="001935F4"/>
    <w:rsid w:val="00196362"/>
    <w:rsid w:val="00196913"/>
    <w:rsid w:val="00196A52"/>
    <w:rsid w:val="00197863"/>
    <w:rsid w:val="001A43CA"/>
    <w:rsid w:val="001A48D2"/>
    <w:rsid w:val="001B0CCF"/>
    <w:rsid w:val="001B1219"/>
    <w:rsid w:val="001B6AB2"/>
    <w:rsid w:val="001C2533"/>
    <w:rsid w:val="001C4644"/>
    <w:rsid w:val="001D08EB"/>
    <w:rsid w:val="001D0D43"/>
    <w:rsid w:val="001D0D7D"/>
    <w:rsid w:val="001D286B"/>
    <w:rsid w:val="001D2A2E"/>
    <w:rsid w:val="001D708D"/>
    <w:rsid w:val="001D721D"/>
    <w:rsid w:val="001E2F6E"/>
    <w:rsid w:val="001E378F"/>
    <w:rsid w:val="001E477D"/>
    <w:rsid w:val="001E6E01"/>
    <w:rsid w:val="001E72CF"/>
    <w:rsid w:val="001E742D"/>
    <w:rsid w:val="001E7EB5"/>
    <w:rsid w:val="001F00F9"/>
    <w:rsid w:val="001F0D10"/>
    <w:rsid w:val="001F2795"/>
    <w:rsid w:val="001F291F"/>
    <w:rsid w:val="001F5D27"/>
    <w:rsid w:val="001F6CF7"/>
    <w:rsid w:val="002024D8"/>
    <w:rsid w:val="0020469D"/>
    <w:rsid w:val="00205C17"/>
    <w:rsid w:val="00207734"/>
    <w:rsid w:val="00213E45"/>
    <w:rsid w:val="00214666"/>
    <w:rsid w:val="00216EE2"/>
    <w:rsid w:val="00220B4B"/>
    <w:rsid w:val="00223F73"/>
    <w:rsid w:val="002243D7"/>
    <w:rsid w:val="00225F58"/>
    <w:rsid w:val="00226FD9"/>
    <w:rsid w:val="002270F7"/>
    <w:rsid w:val="002279A2"/>
    <w:rsid w:val="00227B30"/>
    <w:rsid w:val="00227EE2"/>
    <w:rsid w:val="00227F60"/>
    <w:rsid w:val="00230ED3"/>
    <w:rsid w:val="00231701"/>
    <w:rsid w:val="002326EB"/>
    <w:rsid w:val="002331A1"/>
    <w:rsid w:val="00233B82"/>
    <w:rsid w:val="00235270"/>
    <w:rsid w:val="00235C2F"/>
    <w:rsid w:val="002362E6"/>
    <w:rsid w:val="0023661B"/>
    <w:rsid w:val="00237F40"/>
    <w:rsid w:val="002407EE"/>
    <w:rsid w:val="002409B6"/>
    <w:rsid w:val="00244528"/>
    <w:rsid w:val="00245F6A"/>
    <w:rsid w:val="00250DDA"/>
    <w:rsid w:val="00251223"/>
    <w:rsid w:val="002515E4"/>
    <w:rsid w:val="002515E6"/>
    <w:rsid w:val="00254E0E"/>
    <w:rsid w:val="0025500A"/>
    <w:rsid w:val="00261CCF"/>
    <w:rsid w:val="0026597E"/>
    <w:rsid w:val="002700FB"/>
    <w:rsid w:val="00272256"/>
    <w:rsid w:val="00272770"/>
    <w:rsid w:val="002735B0"/>
    <w:rsid w:val="00280B41"/>
    <w:rsid w:val="00281353"/>
    <w:rsid w:val="0028167E"/>
    <w:rsid w:val="00281957"/>
    <w:rsid w:val="00285852"/>
    <w:rsid w:val="00291FF7"/>
    <w:rsid w:val="00292C06"/>
    <w:rsid w:val="00294168"/>
    <w:rsid w:val="00294356"/>
    <w:rsid w:val="002A00D6"/>
    <w:rsid w:val="002A3031"/>
    <w:rsid w:val="002A3946"/>
    <w:rsid w:val="002A6D3F"/>
    <w:rsid w:val="002B5121"/>
    <w:rsid w:val="002B6E3A"/>
    <w:rsid w:val="002B7D57"/>
    <w:rsid w:val="002C164E"/>
    <w:rsid w:val="002C178B"/>
    <w:rsid w:val="002C20D9"/>
    <w:rsid w:val="002C2B12"/>
    <w:rsid w:val="002D76EE"/>
    <w:rsid w:val="002E0E56"/>
    <w:rsid w:val="002E69F2"/>
    <w:rsid w:val="002E6E1E"/>
    <w:rsid w:val="002E7D97"/>
    <w:rsid w:val="002F2F7D"/>
    <w:rsid w:val="002F3F10"/>
    <w:rsid w:val="002F3F84"/>
    <w:rsid w:val="002F4CDD"/>
    <w:rsid w:val="002F4E97"/>
    <w:rsid w:val="00300896"/>
    <w:rsid w:val="00303DDC"/>
    <w:rsid w:val="00307048"/>
    <w:rsid w:val="0031301A"/>
    <w:rsid w:val="003165F1"/>
    <w:rsid w:val="00316EC7"/>
    <w:rsid w:val="003208DF"/>
    <w:rsid w:val="00321082"/>
    <w:rsid w:val="003223A1"/>
    <w:rsid w:val="00322F72"/>
    <w:rsid w:val="0032337C"/>
    <w:rsid w:val="00324F04"/>
    <w:rsid w:val="00326FF2"/>
    <w:rsid w:val="00326FF4"/>
    <w:rsid w:val="003301D2"/>
    <w:rsid w:val="00330CB1"/>
    <w:rsid w:val="00331F05"/>
    <w:rsid w:val="003352D1"/>
    <w:rsid w:val="00340240"/>
    <w:rsid w:val="003402BF"/>
    <w:rsid w:val="00340A45"/>
    <w:rsid w:val="00341A7B"/>
    <w:rsid w:val="0034229C"/>
    <w:rsid w:val="00342F9B"/>
    <w:rsid w:val="00343544"/>
    <w:rsid w:val="003467A4"/>
    <w:rsid w:val="003479AF"/>
    <w:rsid w:val="00351550"/>
    <w:rsid w:val="00352917"/>
    <w:rsid w:val="00360356"/>
    <w:rsid w:val="0036166F"/>
    <w:rsid w:val="003672E9"/>
    <w:rsid w:val="00371B54"/>
    <w:rsid w:val="003720B5"/>
    <w:rsid w:val="00373ACA"/>
    <w:rsid w:val="00373C2C"/>
    <w:rsid w:val="003756F5"/>
    <w:rsid w:val="0037708D"/>
    <w:rsid w:val="003776AB"/>
    <w:rsid w:val="0037783B"/>
    <w:rsid w:val="00383A37"/>
    <w:rsid w:val="003844F1"/>
    <w:rsid w:val="00387071"/>
    <w:rsid w:val="00387D45"/>
    <w:rsid w:val="003912CF"/>
    <w:rsid w:val="00391947"/>
    <w:rsid w:val="00392BF1"/>
    <w:rsid w:val="003931D5"/>
    <w:rsid w:val="00394CEE"/>
    <w:rsid w:val="00396F77"/>
    <w:rsid w:val="003972B2"/>
    <w:rsid w:val="003A169C"/>
    <w:rsid w:val="003A39CE"/>
    <w:rsid w:val="003A41E0"/>
    <w:rsid w:val="003A6481"/>
    <w:rsid w:val="003B11C2"/>
    <w:rsid w:val="003B18DA"/>
    <w:rsid w:val="003B1AD2"/>
    <w:rsid w:val="003B4A76"/>
    <w:rsid w:val="003B54CE"/>
    <w:rsid w:val="003B58B9"/>
    <w:rsid w:val="003B6CCE"/>
    <w:rsid w:val="003C09DF"/>
    <w:rsid w:val="003C502D"/>
    <w:rsid w:val="003D11FF"/>
    <w:rsid w:val="003D261E"/>
    <w:rsid w:val="003D4982"/>
    <w:rsid w:val="003D562D"/>
    <w:rsid w:val="003D6113"/>
    <w:rsid w:val="003D6BF8"/>
    <w:rsid w:val="003D6F87"/>
    <w:rsid w:val="003E09B1"/>
    <w:rsid w:val="003E3112"/>
    <w:rsid w:val="003E4708"/>
    <w:rsid w:val="003E7792"/>
    <w:rsid w:val="003F0474"/>
    <w:rsid w:val="003F12FB"/>
    <w:rsid w:val="003F4B81"/>
    <w:rsid w:val="00401461"/>
    <w:rsid w:val="0040146D"/>
    <w:rsid w:val="004039AF"/>
    <w:rsid w:val="004051F7"/>
    <w:rsid w:val="004103BF"/>
    <w:rsid w:val="0041159D"/>
    <w:rsid w:val="00411CD4"/>
    <w:rsid w:val="00413AD4"/>
    <w:rsid w:val="00414170"/>
    <w:rsid w:val="00414893"/>
    <w:rsid w:val="004156F6"/>
    <w:rsid w:val="004232BC"/>
    <w:rsid w:val="00424501"/>
    <w:rsid w:val="00424DB4"/>
    <w:rsid w:val="00425B27"/>
    <w:rsid w:val="00431125"/>
    <w:rsid w:val="00434F3B"/>
    <w:rsid w:val="0043581D"/>
    <w:rsid w:val="00445092"/>
    <w:rsid w:val="00445954"/>
    <w:rsid w:val="00446DB1"/>
    <w:rsid w:val="00446DF2"/>
    <w:rsid w:val="00446FFD"/>
    <w:rsid w:val="00447630"/>
    <w:rsid w:val="004502F8"/>
    <w:rsid w:val="00464F47"/>
    <w:rsid w:val="00465E40"/>
    <w:rsid w:val="00467B5A"/>
    <w:rsid w:val="0047351E"/>
    <w:rsid w:val="00473F53"/>
    <w:rsid w:val="00476CDF"/>
    <w:rsid w:val="00481135"/>
    <w:rsid w:val="00484D6E"/>
    <w:rsid w:val="004860F3"/>
    <w:rsid w:val="00493DC5"/>
    <w:rsid w:val="00493F78"/>
    <w:rsid w:val="00495319"/>
    <w:rsid w:val="00495373"/>
    <w:rsid w:val="00495DC1"/>
    <w:rsid w:val="004963A2"/>
    <w:rsid w:val="004968E9"/>
    <w:rsid w:val="00497D3F"/>
    <w:rsid w:val="004A0AC7"/>
    <w:rsid w:val="004A21FB"/>
    <w:rsid w:val="004A48CD"/>
    <w:rsid w:val="004A5693"/>
    <w:rsid w:val="004A7AF9"/>
    <w:rsid w:val="004B0911"/>
    <w:rsid w:val="004B36CD"/>
    <w:rsid w:val="004B3853"/>
    <w:rsid w:val="004B5944"/>
    <w:rsid w:val="004B5CD5"/>
    <w:rsid w:val="004C3DA1"/>
    <w:rsid w:val="004C5B99"/>
    <w:rsid w:val="004D2313"/>
    <w:rsid w:val="004D2B86"/>
    <w:rsid w:val="004D53E1"/>
    <w:rsid w:val="004D702D"/>
    <w:rsid w:val="004D7EF1"/>
    <w:rsid w:val="004E2CEB"/>
    <w:rsid w:val="004E4062"/>
    <w:rsid w:val="004E544A"/>
    <w:rsid w:val="004E66B2"/>
    <w:rsid w:val="004F1905"/>
    <w:rsid w:val="004F1E66"/>
    <w:rsid w:val="004F264F"/>
    <w:rsid w:val="004F2BC3"/>
    <w:rsid w:val="004F3A74"/>
    <w:rsid w:val="004F41BA"/>
    <w:rsid w:val="004F5AE9"/>
    <w:rsid w:val="004F6CAC"/>
    <w:rsid w:val="00500CAC"/>
    <w:rsid w:val="005049A9"/>
    <w:rsid w:val="00505FB8"/>
    <w:rsid w:val="005069A5"/>
    <w:rsid w:val="00507DDB"/>
    <w:rsid w:val="005114AC"/>
    <w:rsid w:val="00514D96"/>
    <w:rsid w:val="00515719"/>
    <w:rsid w:val="00515E64"/>
    <w:rsid w:val="00516B98"/>
    <w:rsid w:val="00517640"/>
    <w:rsid w:val="00517ADF"/>
    <w:rsid w:val="00517D74"/>
    <w:rsid w:val="00517FFA"/>
    <w:rsid w:val="005216E3"/>
    <w:rsid w:val="005218A2"/>
    <w:rsid w:val="00523B86"/>
    <w:rsid w:val="0052436A"/>
    <w:rsid w:val="00527BE8"/>
    <w:rsid w:val="0053049C"/>
    <w:rsid w:val="00530C0F"/>
    <w:rsid w:val="005312A0"/>
    <w:rsid w:val="0053242F"/>
    <w:rsid w:val="005406D7"/>
    <w:rsid w:val="0054104C"/>
    <w:rsid w:val="005415D4"/>
    <w:rsid w:val="00545349"/>
    <w:rsid w:val="0054724F"/>
    <w:rsid w:val="005516FD"/>
    <w:rsid w:val="00552041"/>
    <w:rsid w:val="00555239"/>
    <w:rsid w:val="005618AA"/>
    <w:rsid w:val="00561A1B"/>
    <w:rsid w:val="00567A44"/>
    <w:rsid w:val="005718F4"/>
    <w:rsid w:val="005740E6"/>
    <w:rsid w:val="0057470F"/>
    <w:rsid w:val="00575587"/>
    <w:rsid w:val="00582C2F"/>
    <w:rsid w:val="00583ACD"/>
    <w:rsid w:val="005958E3"/>
    <w:rsid w:val="005A1ECD"/>
    <w:rsid w:val="005A4247"/>
    <w:rsid w:val="005A4E71"/>
    <w:rsid w:val="005A7DB8"/>
    <w:rsid w:val="005B09B0"/>
    <w:rsid w:val="005B3995"/>
    <w:rsid w:val="005B46FB"/>
    <w:rsid w:val="005B4A69"/>
    <w:rsid w:val="005B68A4"/>
    <w:rsid w:val="005C244C"/>
    <w:rsid w:val="005C4742"/>
    <w:rsid w:val="005C48BE"/>
    <w:rsid w:val="005D0BD6"/>
    <w:rsid w:val="005D2C07"/>
    <w:rsid w:val="005D30BF"/>
    <w:rsid w:val="005D50A5"/>
    <w:rsid w:val="005E1B38"/>
    <w:rsid w:val="005E2D4F"/>
    <w:rsid w:val="005E3FC3"/>
    <w:rsid w:val="005E4F60"/>
    <w:rsid w:val="005F1BC0"/>
    <w:rsid w:val="005F40A9"/>
    <w:rsid w:val="005F65CD"/>
    <w:rsid w:val="005F77B6"/>
    <w:rsid w:val="00600D49"/>
    <w:rsid w:val="00602AB4"/>
    <w:rsid w:val="00603E13"/>
    <w:rsid w:val="00605FB3"/>
    <w:rsid w:val="00606537"/>
    <w:rsid w:val="00607739"/>
    <w:rsid w:val="00607A92"/>
    <w:rsid w:val="00610351"/>
    <w:rsid w:val="00610B10"/>
    <w:rsid w:val="006146F9"/>
    <w:rsid w:val="00616F5D"/>
    <w:rsid w:val="00622BB5"/>
    <w:rsid w:val="00623BC6"/>
    <w:rsid w:val="006318FD"/>
    <w:rsid w:val="00632AA1"/>
    <w:rsid w:val="00633709"/>
    <w:rsid w:val="00635D43"/>
    <w:rsid w:val="00637487"/>
    <w:rsid w:val="006379BD"/>
    <w:rsid w:val="0064029F"/>
    <w:rsid w:val="00640AA2"/>
    <w:rsid w:val="00643EEB"/>
    <w:rsid w:val="00644C8C"/>
    <w:rsid w:val="0064791C"/>
    <w:rsid w:val="00647D55"/>
    <w:rsid w:val="00650830"/>
    <w:rsid w:val="0065175B"/>
    <w:rsid w:val="00652B4A"/>
    <w:rsid w:val="006533FA"/>
    <w:rsid w:val="00656AC2"/>
    <w:rsid w:val="00657006"/>
    <w:rsid w:val="00657294"/>
    <w:rsid w:val="006573D4"/>
    <w:rsid w:val="0066022A"/>
    <w:rsid w:val="00662B5D"/>
    <w:rsid w:val="00663A22"/>
    <w:rsid w:val="00666B31"/>
    <w:rsid w:val="006708B1"/>
    <w:rsid w:val="006708F4"/>
    <w:rsid w:val="00670D44"/>
    <w:rsid w:val="00673656"/>
    <w:rsid w:val="0067477D"/>
    <w:rsid w:val="00675268"/>
    <w:rsid w:val="0068182B"/>
    <w:rsid w:val="00685321"/>
    <w:rsid w:val="00685BF5"/>
    <w:rsid w:val="00686C0C"/>
    <w:rsid w:val="0069212F"/>
    <w:rsid w:val="00692922"/>
    <w:rsid w:val="006929A5"/>
    <w:rsid w:val="00693991"/>
    <w:rsid w:val="00694F62"/>
    <w:rsid w:val="00695AB6"/>
    <w:rsid w:val="00696F45"/>
    <w:rsid w:val="00697D88"/>
    <w:rsid w:val="006A2405"/>
    <w:rsid w:val="006A25C2"/>
    <w:rsid w:val="006A2DB9"/>
    <w:rsid w:val="006A3402"/>
    <w:rsid w:val="006A3E14"/>
    <w:rsid w:val="006A5F36"/>
    <w:rsid w:val="006A6066"/>
    <w:rsid w:val="006B0F64"/>
    <w:rsid w:val="006B25B6"/>
    <w:rsid w:val="006B5346"/>
    <w:rsid w:val="006B6D91"/>
    <w:rsid w:val="006C25DD"/>
    <w:rsid w:val="006D0192"/>
    <w:rsid w:val="006D1337"/>
    <w:rsid w:val="006D1FB4"/>
    <w:rsid w:val="006D2227"/>
    <w:rsid w:val="006D3307"/>
    <w:rsid w:val="006D704F"/>
    <w:rsid w:val="006D7919"/>
    <w:rsid w:val="006E4679"/>
    <w:rsid w:val="006F0097"/>
    <w:rsid w:val="006F192C"/>
    <w:rsid w:val="006F4F92"/>
    <w:rsid w:val="006F6FD6"/>
    <w:rsid w:val="006F7D49"/>
    <w:rsid w:val="007000E8"/>
    <w:rsid w:val="00700157"/>
    <w:rsid w:val="00702254"/>
    <w:rsid w:val="00704783"/>
    <w:rsid w:val="007057A0"/>
    <w:rsid w:val="00713BA6"/>
    <w:rsid w:val="0071492A"/>
    <w:rsid w:val="00716B76"/>
    <w:rsid w:val="00716BCA"/>
    <w:rsid w:val="007172D7"/>
    <w:rsid w:val="007178BC"/>
    <w:rsid w:val="007215AD"/>
    <w:rsid w:val="0072170C"/>
    <w:rsid w:val="00727705"/>
    <w:rsid w:val="007279A8"/>
    <w:rsid w:val="00731EE0"/>
    <w:rsid w:val="007329E8"/>
    <w:rsid w:val="007348EC"/>
    <w:rsid w:val="007356FF"/>
    <w:rsid w:val="0073627D"/>
    <w:rsid w:val="007374A8"/>
    <w:rsid w:val="007409F0"/>
    <w:rsid w:val="00740A43"/>
    <w:rsid w:val="00741BBB"/>
    <w:rsid w:val="00741FFA"/>
    <w:rsid w:val="007444C0"/>
    <w:rsid w:val="00744719"/>
    <w:rsid w:val="00745D12"/>
    <w:rsid w:val="00746C0A"/>
    <w:rsid w:val="007470CD"/>
    <w:rsid w:val="00753943"/>
    <w:rsid w:val="007541AE"/>
    <w:rsid w:val="00754B32"/>
    <w:rsid w:val="00755F59"/>
    <w:rsid w:val="00762B49"/>
    <w:rsid w:val="00766D41"/>
    <w:rsid w:val="007672E4"/>
    <w:rsid w:val="00770485"/>
    <w:rsid w:val="00770ADE"/>
    <w:rsid w:val="00771447"/>
    <w:rsid w:val="00772943"/>
    <w:rsid w:val="00777EFE"/>
    <w:rsid w:val="007810F3"/>
    <w:rsid w:val="00781115"/>
    <w:rsid w:val="00781DA5"/>
    <w:rsid w:val="007820BE"/>
    <w:rsid w:val="00783FA2"/>
    <w:rsid w:val="0078555B"/>
    <w:rsid w:val="00786A37"/>
    <w:rsid w:val="00787058"/>
    <w:rsid w:val="00787CA4"/>
    <w:rsid w:val="007A1DC5"/>
    <w:rsid w:val="007A2078"/>
    <w:rsid w:val="007A6AC1"/>
    <w:rsid w:val="007B0376"/>
    <w:rsid w:val="007B2391"/>
    <w:rsid w:val="007B2649"/>
    <w:rsid w:val="007B2FF9"/>
    <w:rsid w:val="007B6E4A"/>
    <w:rsid w:val="007B70B6"/>
    <w:rsid w:val="007C04B4"/>
    <w:rsid w:val="007C117A"/>
    <w:rsid w:val="007C45AC"/>
    <w:rsid w:val="007C7F5F"/>
    <w:rsid w:val="007D1DD0"/>
    <w:rsid w:val="007D1FBD"/>
    <w:rsid w:val="007D399E"/>
    <w:rsid w:val="007D571F"/>
    <w:rsid w:val="007E1AED"/>
    <w:rsid w:val="007F0ED6"/>
    <w:rsid w:val="007F2893"/>
    <w:rsid w:val="007F29CA"/>
    <w:rsid w:val="007F4A5D"/>
    <w:rsid w:val="007F531F"/>
    <w:rsid w:val="007F6C07"/>
    <w:rsid w:val="007F7DBE"/>
    <w:rsid w:val="007F7FDE"/>
    <w:rsid w:val="00800136"/>
    <w:rsid w:val="008049DC"/>
    <w:rsid w:val="00805132"/>
    <w:rsid w:val="008057A0"/>
    <w:rsid w:val="00810AE1"/>
    <w:rsid w:val="00812174"/>
    <w:rsid w:val="008123B3"/>
    <w:rsid w:val="00816421"/>
    <w:rsid w:val="008225EF"/>
    <w:rsid w:val="00823C7B"/>
    <w:rsid w:val="00824C13"/>
    <w:rsid w:val="008264A6"/>
    <w:rsid w:val="00832B21"/>
    <w:rsid w:val="008331CB"/>
    <w:rsid w:val="008343B6"/>
    <w:rsid w:val="0083531B"/>
    <w:rsid w:val="0083575B"/>
    <w:rsid w:val="00836C32"/>
    <w:rsid w:val="00845CE0"/>
    <w:rsid w:val="008478AB"/>
    <w:rsid w:val="008503B1"/>
    <w:rsid w:val="0085404E"/>
    <w:rsid w:val="00856DC6"/>
    <w:rsid w:val="00857319"/>
    <w:rsid w:val="0085767E"/>
    <w:rsid w:val="008601B2"/>
    <w:rsid w:val="00860365"/>
    <w:rsid w:val="00860ADB"/>
    <w:rsid w:val="008627D9"/>
    <w:rsid w:val="008654C7"/>
    <w:rsid w:val="008671A5"/>
    <w:rsid w:val="0087068C"/>
    <w:rsid w:val="0087276A"/>
    <w:rsid w:val="0087306E"/>
    <w:rsid w:val="0087501E"/>
    <w:rsid w:val="0087660F"/>
    <w:rsid w:val="00881375"/>
    <w:rsid w:val="00882109"/>
    <w:rsid w:val="00884E39"/>
    <w:rsid w:val="008851FF"/>
    <w:rsid w:val="00885B98"/>
    <w:rsid w:val="00885D9C"/>
    <w:rsid w:val="00885DCC"/>
    <w:rsid w:val="00893355"/>
    <w:rsid w:val="008955EA"/>
    <w:rsid w:val="0089784F"/>
    <w:rsid w:val="008A119F"/>
    <w:rsid w:val="008A1584"/>
    <w:rsid w:val="008A59E1"/>
    <w:rsid w:val="008A5B63"/>
    <w:rsid w:val="008A6475"/>
    <w:rsid w:val="008A665C"/>
    <w:rsid w:val="008A726E"/>
    <w:rsid w:val="008A77BF"/>
    <w:rsid w:val="008B11B3"/>
    <w:rsid w:val="008B1251"/>
    <w:rsid w:val="008B1522"/>
    <w:rsid w:val="008B160F"/>
    <w:rsid w:val="008B28C6"/>
    <w:rsid w:val="008B695A"/>
    <w:rsid w:val="008B7737"/>
    <w:rsid w:val="008B7F82"/>
    <w:rsid w:val="008C1E82"/>
    <w:rsid w:val="008C2E54"/>
    <w:rsid w:val="008D03F5"/>
    <w:rsid w:val="008D30D3"/>
    <w:rsid w:val="008D34BA"/>
    <w:rsid w:val="008D4094"/>
    <w:rsid w:val="008D5A03"/>
    <w:rsid w:val="008D7124"/>
    <w:rsid w:val="008D7FC7"/>
    <w:rsid w:val="008E2353"/>
    <w:rsid w:val="008E2889"/>
    <w:rsid w:val="008E45C2"/>
    <w:rsid w:val="008E584E"/>
    <w:rsid w:val="008E6153"/>
    <w:rsid w:val="008E70C2"/>
    <w:rsid w:val="008F1790"/>
    <w:rsid w:val="008F5071"/>
    <w:rsid w:val="008F516A"/>
    <w:rsid w:val="008F6665"/>
    <w:rsid w:val="00901C1B"/>
    <w:rsid w:val="009021FA"/>
    <w:rsid w:val="00903554"/>
    <w:rsid w:val="00905422"/>
    <w:rsid w:val="00906D1E"/>
    <w:rsid w:val="00907315"/>
    <w:rsid w:val="00907901"/>
    <w:rsid w:val="00910891"/>
    <w:rsid w:val="00911678"/>
    <w:rsid w:val="00915537"/>
    <w:rsid w:val="00915BAC"/>
    <w:rsid w:val="009175A8"/>
    <w:rsid w:val="00921136"/>
    <w:rsid w:val="00921488"/>
    <w:rsid w:val="009219E5"/>
    <w:rsid w:val="00923C43"/>
    <w:rsid w:val="00925056"/>
    <w:rsid w:val="00926694"/>
    <w:rsid w:val="0093113C"/>
    <w:rsid w:val="009315B2"/>
    <w:rsid w:val="00936881"/>
    <w:rsid w:val="00943659"/>
    <w:rsid w:val="00945733"/>
    <w:rsid w:val="00950060"/>
    <w:rsid w:val="009504C2"/>
    <w:rsid w:val="00950E81"/>
    <w:rsid w:val="009514C7"/>
    <w:rsid w:val="00954B5E"/>
    <w:rsid w:val="00954D0C"/>
    <w:rsid w:val="00956AF4"/>
    <w:rsid w:val="00957DEB"/>
    <w:rsid w:val="00963B48"/>
    <w:rsid w:val="00967C34"/>
    <w:rsid w:val="00970DDE"/>
    <w:rsid w:val="00973590"/>
    <w:rsid w:val="00973F3A"/>
    <w:rsid w:val="009753D4"/>
    <w:rsid w:val="00981D31"/>
    <w:rsid w:val="00981F9A"/>
    <w:rsid w:val="00982E14"/>
    <w:rsid w:val="00984203"/>
    <w:rsid w:val="00993BBE"/>
    <w:rsid w:val="00995969"/>
    <w:rsid w:val="00996060"/>
    <w:rsid w:val="00997FE8"/>
    <w:rsid w:val="009A074A"/>
    <w:rsid w:val="009A2C55"/>
    <w:rsid w:val="009A32A8"/>
    <w:rsid w:val="009A4CF0"/>
    <w:rsid w:val="009A5383"/>
    <w:rsid w:val="009B16E0"/>
    <w:rsid w:val="009B1741"/>
    <w:rsid w:val="009B21E1"/>
    <w:rsid w:val="009B30BB"/>
    <w:rsid w:val="009B427F"/>
    <w:rsid w:val="009B5FEE"/>
    <w:rsid w:val="009B6FC5"/>
    <w:rsid w:val="009B7C10"/>
    <w:rsid w:val="009C02EC"/>
    <w:rsid w:val="009C02F6"/>
    <w:rsid w:val="009C07E9"/>
    <w:rsid w:val="009C08F2"/>
    <w:rsid w:val="009C24B3"/>
    <w:rsid w:val="009C259B"/>
    <w:rsid w:val="009C2BE3"/>
    <w:rsid w:val="009C512B"/>
    <w:rsid w:val="009C580B"/>
    <w:rsid w:val="009C66D3"/>
    <w:rsid w:val="009D00EB"/>
    <w:rsid w:val="009D0762"/>
    <w:rsid w:val="009D2615"/>
    <w:rsid w:val="009D2AA5"/>
    <w:rsid w:val="009D3C37"/>
    <w:rsid w:val="009D418F"/>
    <w:rsid w:val="009E3AB1"/>
    <w:rsid w:val="009E5679"/>
    <w:rsid w:val="009E670D"/>
    <w:rsid w:val="009E793C"/>
    <w:rsid w:val="009F0BC7"/>
    <w:rsid w:val="009F14E7"/>
    <w:rsid w:val="009F29D8"/>
    <w:rsid w:val="009F663F"/>
    <w:rsid w:val="00A0127F"/>
    <w:rsid w:val="00A069C6"/>
    <w:rsid w:val="00A10671"/>
    <w:rsid w:val="00A1214C"/>
    <w:rsid w:val="00A1305E"/>
    <w:rsid w:val="00A16598"/>
    <w:rsid w:val="00A16A98"/>
    <w:rsid w:val="00A21B4B"/>
    <w:rsid w:val="00A22234"/>
    <w:rsid w:val="00A24058"/>
    <w:rsid w:val="00A24F53"/>
    <w:rsid w:val="00A256C7"/>
    <w:rsid w:val="00A25BE5"/>
    <w:rsid w:val="00A267ED"/>
    <w:rsid w:val="00A274CB"/>
    <w:rsid w:val="00A27DCA"/>
    <w:rsid w:val="00A27FA1"/>
    <w:rsid w:val="00A40288"/>
    <w:rsid w:val="00A41217"/>
    <w:rsid w:val="00A428B2"/>
    <w:rsid w:val="00A428ED"/>
    <w:rsid w:val="00A43089"/>
    <w:rsid w:val="00A43D30"/>
    <w:rsid w:val="00A445BA"/>
    <w:rsid w:val="00A445DF"/>
    <w:rsid w:val="00A447D4"/>
    <w:rsid w:val="00A44818"/>
    <w:rsid w:val="00A46FBF"/>
    <w:rsid w:val="00A50178"/>
    <w:rsid w:val="00A509D7"/>
    <w:rsid w:val="00A50CD5"/>
    <w:rsid w:val="00A548EE"/>
    <w:rsid w:val="00A579FD"/>
    <w:rsid w:val="00A57F03"/>
    <w:rsid w:val="00A608D6"/>
    <w:rsid w:val="00A61C30"/>
    <w:rsid w:val="00A64E73"/>
    <w:rsid w:val="00A6685D"/>
    <w:rsid w:val="00A71711"/>
    <w:rsid w:val="00A71C65"/>
    <w:rsid w:val="00A73F05"/>
    <w:rsid w:val="00A7601D"/>
    <w:rsid w:val="00A7677D"/>
    <w:rsid w:val="00A7771F"/>
    <w:rsid w:val="00A826F8"/>
    <w:rsid w:val="00A8626D"/>
    <w:rsid w:val="00A866DC"/>
    <w:rsid w:val="00A867AF"/>
    <w:rsid w:val="00A87843"/>
    <w:rsid w:val="00A87CCC"/>
    <w:rsid w:val="00A958B4"/>
    <w:rsid w:val="00A95E44"/>
    <w:rsid w:val="00A9640A"/>
    <w:rsid w:val="00AA1A2B"/>
    <w:rsid w:val="00AA20A7"/>
    <w:rsid w:val="00AA264F"/>
    <w:rsid w:val="00AA2E78"/>
    <w:rsid w:val="00AA45A6"/>
    <w:rsid w:val="00AA6B78"/>
    <w:rsid w:val="00AA7017"/>
    <w:rsid w:val="00AB1461"/>
    <w:rsid w:val="00AB2BFA"/>
    <w:rsid w:val="00AB3262"/>
    <w:rsid w:val="00AC43AE"/>
    <w:rsid w:val="00AC6379"/>
    <w:rsid w:val="00AC6A08"/>
    <w:rsid w:val="00AD0075"/>
    <w:rsid w:val="00AD2118"/>
    <w:rsid w:val="00AD4976"/>
    <w:rsid w:val="00AD73E2"/>
    <w:rsid w:val="00AE1385"/>
    <w:rsid w:val="00AE711B"/>
    <w:rsid w:val="00AE7125"/>
    <w:rsid w:val="00AF114E"/>
    <w:rsid w:val="00AF20EC"/>
    <w:rsid w:val="00AF313F"/>
    <w:rsid w:val="00AF3E9B"/>
    <w:rsid w:val="00AF4239"/>
    <w:rsid w:val="00AF5E3E"/>
    <w:rsid w:val="00AF65E9"/>
    <w:rsid w:val="00AF783A"/>
    <w:rsid w:val="00AF7DA7"/>
    <w:rsid w:val="00B026E8"/>
    <w:rsid w:val="00B0743F"/>
    <w:rsid w:val="00B0758D"/>
    <w:rsid w:val="00B14D1A"/>
    <w:rsid w:val="00B153C3"/>
    <w:rsid w:val="00B225AE"/>
    <w:rsid w:val="00B2260D"/>
    <w:rsid w:val="00B2411A"/>
    <w:rsid w:val="00B24BB8"/>
    <w:rsid w:val="00B257ED"/>
    <w:rsid w:val="00B25C68"/>
    <w:rsid w:val="00B27818"/>
    <w:rsid w:val="00B32522"/>
    <w:rsid w:val="00B347BB"/>
    <w:rsid w:val="00B37129"/>
    <w:rsid w:val="00B3746F"/>
    <w:rsid w:val="00B40CC0"/>
    <w:rsid w:val="00B41996"/>
    <w:rsid w:val="00B4253E"/>
    <w:rsid w:val="00B42880"/>
    <w:rsid w:val="00B474C9"/>
    <w:rsid w:val="00B47876"/>
    <w:rsid w:val="00B542E1"/>
    <w:rsid w:val="00B5665D"/>
    <w:rsid w:val="00B56F7F"/>
    <w:rsid w:val="00B61665"/>
    <w:rsid w:val="00B63853"/>
    <w:rsid w:val="00B666F9"/>
    <w:rsid w:val="00B674E1"/>
    <w:rsid w:val="00B716A7"/>
    <w:rsid w:val="00B71EF9"/>
    <w:rsid w:val="00B762B9"/>
    <w:rsid w:val="00B771DA"/>
    <w:rsid w:val="00B77EFB"/>
    <w:rsid w:val="00B80E7B"/>
    <w:rsid w:val="00B83FA9"/>
    <w:rsid w:val="00B8755D"/>
    <w:rsid w:val="00B90F28"/>
    <w:rsid w:val="00B914D3"/>
    <w:rsid w:val="00B91E31"/>
    <w:rsid w:val="00B92ACA"/>
    <w:rsid w:val="00B94BAC"/>
    <w:rsid w:val="00B958CE"/>
    <w:rsid w:val="00B95BF8"/>
    <w:rsid w:val="00B96248"/>
    <w:rsid w:val="00B9715F"/>
    <w:rsid w:val="00BA7324"/>
    <w:rsid w:val="00BB30CD"/>
    <w:rsid w:val="00BB3C74"/>
    <w:rsid w:val="00BB4D4F"/>
    <w:rsid w:val="00BC022C"/>
    <w:rsid w:val="00BC05AC"/>
    <w:rsid w:val="00BC0758"/>
    <w:rsid w:val="00BC4E71"/>
    <w:rsid w:val="00BC6772"/>
    <w:rsid w:val="00BD4127"/>
    <w:rsid w:val="00BD4BEE"/>
    <w:rsid w:val="00BD786E"/>
    <w:rsid w:val="00BE0740"/>
    <w:rsid w:val="00BE197B"/>
    <w:rsid w:val="00BE591A"/>
    <w:rsid w:val="00BE6429"/>
    <w:rsid w:val="00BE72B5"/>
    <w:rsid w:val="00BF364D"/>
    <w:rsid w:val="00BF3E3D"/>
    <w:rsid w:val="00BF4AFA"/>
    <w:rsid w:val="00C0094E"/>
    <w:rsid w:val="00C01767"/>
    <w:rsid w:val="00C035A3"/>
    <w:rsid w:val="00C044AD"/>
    <w:rsid w:val="00C07F0E"/>
    <w:rsid w:val="00C1387A"/>
    <w:rsid w:val="00C13D04"/>
    <w:rsid w:val="00C14354"/>
    <w:rsid w:val="00C159BE"/>
    <w:rsid w:val="00C1701B"/>
    <w:rsid w:val="00C17416"/>
    <w:rsid w:val="00C17839"/>
    <w:rsid w:val="00C20E8F"/>
    <w:rsid w:val="00C24233"/>
    <w:rsid w:val="00C27C5B"/>
    <w:rsid w:val="00C3009E"/>
    <w:rsid w:val="00C31606"/>
    <w:rsid w:val="00C36752"/>
    <w:rsid w:val="00C37BF2"/>
    <w:rsid w:val="00C40D60"/>
    <w:rsid w:val="00C43870"/>
    <w:rsid w:val="00C45518"/>
    <w:rsid w:val="00C47521"/>
    <w:rsid w:val="00C54983"/>
    <w:rsid w:val="00C555F2"/>
    <w:rsid w:val="00C557D7"/>
    <w:rsid w:val="00C55BF8"/>
    <w:rsid w:val="00C60415"/>
    <w:rsid w:val="00C63C6E"/>
    <w:rsid w:val="00C67C60"/>
    <w:rsid w:val="00C71571"/>
    <w:rsid w:val="00C71782"/>
    <w:rsid w:val="00C7496E"/>
    <w:rsid w:val="00C7547E"/>
    <w:rsid w:val="00C75823"/>
    <w:rsid w:val="00C76BEC"/>
    <w:rsid w:val="00C802D2"/>
    <w:rsid w:val="00C82A5A"/>
    <w:rsid w:val="00C82C5E"/>
    <w:rsid w:val="00C851DD"/>
    <w:rsid w:val="00C86C46"/>
    <w:rsid w:val="00C9115C"/>
    <w:rsid w:val="00C917FE"/>
    <w:rsid w:val="00C925C3"/>
    <w:rsid w:val="00C9336E"/>
    <w:rsid w:val="00C940CE"/>
    <w:rsid w:val="00C942CB"/>
    <w:rsid w:val="00C96A1A"/>
    <w:rsid w:val="00CA4BDA"/>
    <w:rsid w:val="00CA7572"/>
    <w:rsid w:val="00CB067C"/>
    <w:rsid w:val="00CB1961"/>
    <w:rsid w:val="00CB2D47"/>
    <w:rsid w:val="00CB3EE3"/>
    <w:rsid w:val="00CB3EE6"/>
    <w:rsid w:val="00CB530A"/>
    <w:rsid w:val="00CB5BE2"/>
    <w:rsid w:val="00CB7D8E"/>
    <w:rsid w:val="00CB7DF5"/>
    <w:rsid w:val="00CC10BF"/>
    <w:rsid w:val="00CC311D"/>
    <w:rsid w:val="00CC7943"/>
    <w:rsid w:val="00CD02D2"/>
    <w:rsid w:val="00CD1331"/>
    <w:rsid w:val="00CD3FFE"/>
    <w:rsid w:val="00CD5FCE"/>
    <w:rsid w:val="00CE1E94"/>
    <w:rsid w:val="00CE1EA6"/>
    <w:rsid w:val="00CE31DC"/>
    <w:rsid w:val="00CE44AF"/>
    <w:rsid w:val="00CE5C8C"/>
    <w:rsid w:val="00CE71DC"/>
    <w:rsid w:val="00CF157A"/>
    <w:rsid w:val="00CF36C5"/>
    <w:rsid w:val="00CF670D"/>
    <w:rsid w:val="00CF6822"/>
    <w:rsid w:val="00CF77C1"/>
    <w:rsid w:val="00D00909"/>
    <w:rsid w:val="00D030CF"/>
    <w:rsid w:val="00D049B4"/>
    <w:rsid w:val="00D06F11"/>
    <w:rsid w:val="00D10E6B"/>
    <w:rsid w:val="00D127A6"/>
    <w:rsid w:val="00D1286C"/>
    <w:rsid w:val="00D15F72"/>
    <w:rsid w:val="00D167CF"/>
    <w:rsid w:val="00D20C0C"/>
    <w:rsid w:val="00D218E3"/>
    <w:rsid w:val="00D22104"/>
    <w:rsid w:val="00D22BE7"/>
    <w:rsid w:val="00D22D84"/>
    <w:rsid w:val="00D23066"/>
    <w:rsid w:val="00D25F00"/>
    <w:rsid w:val="00D26C56"/>
    <w:rsid w:val="00D270F1"/>
    <w:rsid w:val="00D311F1"/>
    <w:rsid w:val="00D31862"/>
    <w:rsid w:val="00D34224"/>
    <w:rsid w:val="00D3549B"/>
    <w:rsid w:val="00D36035"/>
    <w:rsid w:val="00D364BC"/>
    <w:rsid w:val="00D4255F"/>
    <w:rsid w:val="00D43633"/>
    <w:rsid w:val="00D45B2F"/>
    <w:rsid w:val="00D53B2C"/>
    <w:rsid w:val="00D55AFD"/>
    <w:rsid w:val="00D57BEF"/>
    <w:rsid w:val="00D60F0B"/>
    <w:rsid w:val="00D63E85"/>
    <w:rsid w:val="00D7067E"/>
    <w:rsid w:val="00D73826"/>
    <w:rsid w:val="00D74769"/>
    <w:rsid w:val="00D74D23"/>
    <w:rsid w:val="00D74F48"/>
    <w:rsid w:val="00D771D3"/>
    <w:rsid w:val="00D777E2"/>
    <w:rsid w:val="00D81026"/>
    <w:rsid w:val="00D83F0E"/>
    <w:rsid w:val="00D841C4"/>
    <w:rsid w:val="00D90990"/>
    <w:rsid w:val="00D92D7B"/>
    <w:rsid w:val="00D9370D"/>
    <w:rsid w:val="00D96073"/>
    <w:rsid w:val="00DA02E7"/>
    <w:rsid w:val="00DA11AC"/>
    <w:rsid w:val="00DA7CE2"/>
    <w:rsid w:val="00DB1D7A"/>
    <w:rsid w:val="00DB2466"/>
    <w:rsid w:val="00DB2AB2"/>
    <w:rsid w:val="00DB3860"/>
    <w:rsid w:val="00DB44A3"/>
    <w:rsid w:val="00DB6885"/>
    <w:rsid w:val="00DB7773"/>
    <w:rsid w:val="00DB7E3A"/>
    <w:rsid w:val="00DC4240"/>
    <w:rsid w:val="00DD4F8F"/>
    <w:rsid w:val="00DD6227"/>
    <w:rsid w:val="00DD6BAF"/>
    <w:rsid w:val="00DD7CD7"/>
    <w:rsid w:val="00DE011D"/>
    <w:rsid w:val="00DE131E"/>
    <w:rsid w:val="00DE1619"/>
    <w:rsid w:val="00DE1B8A"/>
    <w:rsid w:val="00DE236E"/>
    <w:rsid w:val="00DE707D"/>
    <w:rsid w:val="00DF3F80"/>
    <w:rsid w:val="00DF560E"/>
    <w:rsid w:val="00DF779F"/>
    <w:rsid w:val="00DF77F6"/>
    <w:rsid w:val="00E0116E"/>
    <w:rsid w:val="00E04D6B"/>
    <w:rsid w:val="00E053AC"/>
    <w:rsid w:val="00E07465"/>
    <w:rsid w:val="00E07AD9"/>
    <w:rsid w:val="00E10893"/>
    <w:rsid w:val="00E10977"/>
    <w:rsid w:val="00E1493E"/>
    <w:rsid w:val="00E15234"/>
    <w:rsid w:val="00E209C3"/>
    <w:rsid w:val="00E21369"/>
    <w:rsid w:val="00E23BFC"/>
    <w:rsid w:val="00E248BF"/>
    <w:rsid w:val="00E2521A"/>
    <w:rsid w:val="00E2581F"/>
    <w:rsid w:val="00E30E22"/>
    <w:rsid w:val="00E32E0E"/>
    <w:rsid w:val="00E350B5"/>
    <w:rsid w:val="00E37E19"/>
    <w:rsid w:val="00E37FE6"/>
    <w:rsid w:val="00E4059E"/>
    <w:rsid w:val="00E408D0"/>
    <w:rsid w:val="00E43C23"/>
    <w:rsid w:val="00E45A44"/>
    <w:rsid w:val="00E463D3"/>
    <w:rsid w:val="00E4703D"/>
    <w:rsid w:val="00E47C63"/>
    <w:rsid w:val="00E53378"/>
    <w:rsid w:val="00E5393C"/>
    <w:rsid w:val="00E5692E"/>
    <w:rsid w:val="00E56BD5"/>
    <w:rsid w:val="00E608A5"/>
    <w:rsid w:val="00E63C28"/>
    <w:rsid w:val="00E64539"/>
    <w:rsid w:val="00E64C44"/>
    <w:rsid w:val="00E652E8"/>
    <w:rsid w:val="00E67850"/>
    <w:rsid w:val="00E716D1"/>
    <w:rsid w:val="00E722BA"/>
    <w:rsid w:val="00E759FC"/>
    <w:rsid w:val="00E76C67"/>
    <w:rsid w:val="00E810FA"/>
    <w:rsid w:val="00E815E9"/>
    <w:rsid w:val="00E8253B"/>
    <w:rsid w:val="00E842A4"/>
    <w:rsid w:val="00E8573C"/>
    <w:rsid w:val="00E85CF4"/>
    <w:rsid w:val="00E860CD"/>
    <w:rsid w:val="00E86A7B"/>
    <w:rsid w:val="00E87F16"/>
    <w:rsid w:val="00E90EA8"/>
    <w:rsid w:val="00E9298B"/>
    <w:rsid w:val="00E943CA"/>
    <w:rsid w:val="00E9545B"/>
    <w:rsid w:val="00EA54F0"/>
    <w:rsid w:val="00EA727A"/>
    <w:rsid w:val="00EA7E33"/>
    <w:rsid w:val="00EB51DF"/>
    <w:rsid w:val="00EB640B"/>
    <w:rsid w:val="00EB68C4"/>
    <w:rsid w:val="00EB6DF7"/>
    <w:rsid w:val="00EB7624"/>
    <w:rsid w:val="00EB7E07"/>
    <w:rsid w:val="00EC01AB"/>
    <w:rsid w:val="00EC3F3A"/>
    <w:rsid w:val="00EC646A"/>
    <w:rsid w:val="00EC711F"/>
    <w:rsid w:val="00EC7C9A"/>
    <w:rsid w:val="00EC7F78"/>
    <w:rsid w:val="00ED1D54"/>
    <w:rsid w:val="00ED30A3"/>
    <w:rsid w:val="00ED357B"/>
    <w:rsid w:val="00ED4117"/>
    <w:rsid w:val="00ED508B"/>
    <w:rsid w:val="00ED69B4"/>
    <w:rsid w:val="00EE067D"/>
    <w:rsid w:val="00EE0DD4"/>
    <w:rsid w:val="00EE18FC"/>
    <w:rsid w:val="00EE2FFF"/>
    <w:rsid w:val="00EE3483"/>
    <w:rsid w:val="00EE36BD"/>
    <w:rsid w:val="00EE5953"/>
    <w:rsid w:val="00F00315"/>
    <w:rsid w:val="00F05DA0"/>
    <w:rsid w:val="00F06057"/>
    <w:rsid w:val="00F073E5"/>
    <w:rsid w:val="00F104FA"/>
    <w:rsid w:val="00F11E12"/>
    <w:rsid w:val="00F1244E"/>
    <w:rsid w:val="00F126A0"/>
    <w:rsid w:val="00F13785"/>
    <w:rsid w:val="00F15659"/>
    <w:rsid w:val="00F165BB"/>
    <w:rsid w:val="00F273F5"/>
    <w:rsid w:val="00F30F78"/>
    <w:rsid w:val="00F3118F"/>
    <w:rsid w:val="00F33E72"/>
    <w:rsid w:val="00F377FA"/>
    <w:rsid w:val="00F42294"/>
    <w:rsid w:val="00F43FC5"/>
    <w:rsid w:val="00F4463E"/>
    <w:rsid w:val="00F4541C"/>
    <w:rsid w:val="00F52338"/>
    <w:rsid w:val="00F531A5"/>
    <w:rsid w:val="00F53386"/>
    <w:rsid w:val="00F55C3A"/>
    <w:rsid w:val="00F60EB2"/>
    <w:rsid w:val="00F642CA"/>
    <w:rsid w:val="00F64909"/>
    <w:rsid w:val="00F64D27"/>
    <w:rsid w:val="00F6724B"/>
    <w:rsid w:val="00F7342A"/>
    <w:rsid w:val="00F7386D"/>
    <w:rsid w:val="00F749A3"/>
    <w:rsid w:val="00F7768C"/>
    <w:rsid w:val="00F77C3D"/>
    <w:rsid w:val="00F81790"/>
    <w:rsid w:val="00F82E51"/>
    <w:rsid w:val="00F83DCD"/>
    <w:rsid w:val="00F84F21"/>
    <w:rsid w:val="00F85995"/>
    <w:rsid w:val="00F86C80"/>
    <w:rsid w:val="00F91016"/>
    <w:rsid w:val="00F910E3"/>
    <w:rsid w:val="00F91DAA"/>
    <w:rsid w:val="00F92175"/>
    <w:rsid w:val="00F92E9D"/>
    <w:rsid w:val="00F92EC8"/>
    <w:rsid w:val="00F94959"/>
    <w:rsid w:val="00F95861"/>
    <w:rsid w:val="00F95974"/>
    <w:rsid w:val="00F96F21"/>
    <w:rsid w:val="00FA1615"/>
    <w:rsid w:val="00FA1F4F"/>
    <w:rsid w:val="00FA232A"/>
    <w:rsid w:val="00FA3F90"/>
    <w:rsid w:val="00FA6141"/>
    <w:rsid w:val="00FA78E6"/>
    <w:rsid w:val="00FA7F52"/>
    <w:rsid w:val="00FB1E9B"/>
    <w:rsid w:val="00FB1FF8"/>
    <w:rsid w:val="00FB29CA"/>
    <w:rsid w:val="00FB456E"/>
    <w:rsid w:val="00FB538E"/>
    <w:rsid w:val="00FB7168"/>
    <w:rsid w:val="00FC20B4"/>
    <w:rsid w:val="00FC375A"/>
    <w:rsid w:val="00FC5CB0"/>
    <w:rsid w:val="00FC64DF"/>
    <w:rsid w:val="00FC672A"/>
    <w:rsid w:val="00FC6CB4"/>
    <w:rsid w:val="00FD23C0"/>
    <w:rsid w:val="00FD2D21"/>
    <w:rsid w:val="00FD635C"/>
    <w:rsid w:val="00FD7D49"/>
    <w:rsid w:val="00FE043A"/>
    <w:rsid w:val="00FE0FAB"/>
    <w:rsid w:val="00FE10ED"/>
    <w:rsid w:val="00FE30BF"/>
    <w:rsid w:val="00FE5DD0"/>
    <w:rsid w:val="00FE613A"/>
    <w:rsid w:val="00FF0E4F"/>
    <w:rsid w:val="00FF12AF"/>
    <w:rsid w:val="00FF7472"/>
    <w:rsid w:val="010A6538"/>
    <w:rsid w:val="01186AA2"/>
    <w:rsid w:val="012F05BA"/>
    <w:rsid w:val="013658C9"/>
    <w:rsid w:val="013D4B60"/>
    <w:rsid w:val="01651BF6"/>
    <w:rsid w:val="018E2466"/>
    <w:rsid w:val="019D55FE"/>
    <w:rsid w:val="01BD17FD"/>
    <w:rsid w:val="01BF7D0C"/>
    <w:rsid w:val="01C761D7"/>
    <w:rsid w:val="01CE185D"/>
    <w:rsid w:val="01DB6127"/>
    <w:rsid w:val="01F9035B"/>
    <w:rsid w:val="02054F52"/>
    <w:rsid w:val="020D51E6"/>
    <w:rsid w:val="021358C1"/>
    <w:rsid w:val="0252347D"/>
    <w:rsid w:val="025450D4"/>
    <w:rsid w:val="02561178"/>
    <w:rsid w:val="025941CA"/>
    <w:rsid w:val="025C1016"/>
    <w:rsid w:val="027D71DE"/>
    <w:rsid w:val="02820350"/>
    <w:rsid w:val="029C584C"/>
    <w:rsid w:val="029C6541"/>
    <w:rsid w:val="029F0509"/>
    <w:rsid w:val="02DC76FD"/>
    <w:rsid w:val="02E903CF"/>
    <w:rsid w:val="02F94AB6"/>
    <w:rsid w:val="02FE20CD"/>
    <w:rsid w:val="030A1699"/>
    <w:rsid w:val="03391357"/>
    <w:rsid w:val="033E17E5"/>
    <w:rsid w:val="03443858"/>
    <w:rsid w:val="034C72DC"/>
    <w:rsid w:val="03546191"/>
    <w:rsid w:val="035556E8"/>
    <w:rsid w:val="03735687"/>
    <w:rsid w:val="037E4FBC"/>
    <w:rsid w:val="03972DDE"/>
    <w:rsid w:val="03A872A9"/>
    <w:rsid w:val="03B44EAE"/>
    <w:rsid w:val="03D35307"/>
    <w:rsid w:val="03DD4B8B"/>
    <w:rsid w:val="03F7408F"/>
    <w:rsid w:val="041413E5"/>
    <w:rsid w:val="04194CE4"/>
    <w:rsid w:val="041B2FAD"/>
    <w:rsid w:val="04431288"/>
    <w:rsid w:val="045C7FFA"/>
    <w:rsid w:val="04716E2C"/>
    <w:rsid w:val="049118AD"/>
    <w:rsid w:val="049A7BD3"/>
    <w:rsid w:val="04A1422A"/>
    <w:rsid w:val="04A14D61"/>
    <w:rsid w:val="04E54111"/>
    <w:rsid w:val="04E92909"/>
    <w:rsid w:val="04EB55C2"/>
    <w:rsid w:val="04F5226D"/>
    <w:rsid w:val="050E236F"/>
    <w:rsid w:val="05123C0E"/>
    <w:rsid w:val="051B6ECD"/>
    <w:rsid w:val="051D391E"/>
    <w:rsid w:val="053718C6"/>
    <w:rsid w:val="054D2E98"/>
    <w:rsid w:val="05575AC4"/>
    <w:rsid w:val="056B33E0"/>
    <w:rsid w:val="057729EC"/>
    <w:rsid w:val="05853761"/>
    <w:rsid w:val="058A5B80"/>
    <w:rsid w:val="05953CBD"/>
    <w:rsid w:val="059F6D59"/>
    <w:rsid w:val="05A02353"/>
    <w:rsid w:val="05A47F7D"/>
    <w:rsid w:val="05CC0260"/>
    <w:rsid w:val="05D53B07"/>
    <w:rsid w:val="05DF20CD"/>
    <w:rsid w:val="05E51322"/>
    <w:rsid w:val="05FE71E6"/>
    <w:rsid w:val="060519C4"/>
    <w:rsid w:val="0607573C"/>
    <w:rsid w:val="06153615"/>
    <w:rsid w:val="062A53C6"/>
    <w:rsid w:val="063A0E4C"/>
    <w:rsid w:val="06462925"/>
    <w:rsid w:val="0648001A"/>
    <w:rsid w:val="0656765F"/>
    <w:rsid w:val="066C37F1"/>
    <w:rsid w:val="06837C71"/>
    <w:rsid w:val="06A028D0"/>
    <w:rsid w:val="06A72A7B"/>
    <w:rsid w:val="06C81778"/>
    <w:rsid w:val="06D51397"/>
    <w:rsid w:val="06EA572D"/>
    <w:rsid w:val="07222102"/>
    <w:rsid w:val="07242596"/>
    <w:rsid w:val="073D565F"/>
    <w:rsid w:val="07462294"/>
    <w:rsid w:val="075A1291"/>
    <w:rsid w:val="075A5B3D"/>
    <w:rsid w:val="078B7CA7"/>
    <w:rsid w:val="07A019A5"/>
    <w:rsid w:val="07BE62CF"/>
    <w:rsid w:val="07CF65DF"/>
    <w:rsid w:val="07E516C8"/>
    <w:rsid w:val="07F5057A"/>
    <w:rsid w:val="08136178"/>
    <w:rsid w:val="081952B3"/>
    <w:rsid w:val="083D5445"/>
    <w:rsid w:val="08401324"/>
    <w:rsid w:val="084367D4"/>
    <w:rsid w:val="084D361A"/>
    <w:rsid w:val="086C767A"/>
    <w:rsid w:val="087F5A5E"/>
    <w:rsid w:val="08807C8F"/>
    <w:rsid w:val="08964B56"/>
    <w:rsid w:val="089947AD"/>
    <w:rsid w:val="08A61F26"/>
    <w:rsid w:val="08AC0286"/>
    <w:rsid w:val="08AC6617"/>
    <w:rsid w:val="08B82D1E"/>
    <w:rsid w:val="08B84ACC"/>
    <w:rsid w:val="08B87F94"/>
    <w:rsid w:val="08BA6A96"/>
    <w:rsid w:val="08DB7189"/>
    <w:rsid w:val="08EE4992"/>
    <w:rsid w:val="08F633AB"/>
    <w:rsid w:val="08F85810"/>
    <w:rsid w:val="09042E39"/>
    <w:rsid w:val="090E1207"/>
    <w:rsid w:val="090E47FB"/>
    <w:rsid w:val="09102BA1"/>
    <w:rsid w:val="0917534D"/>
    <w:rsid w:val="092D1D23"/>
    <w:rsid w:val="09330CF7"/>
    <w:rsid w:val="09494D36"/>
    <w:rsid w:val="094E437B"/>
    <w:rsid w:val="095962AF"/>
    <w:rsid w:val="09622C8A"/>
    <w:rsid w:val="09774987"/>
    <w:rsid w:val="09867976"/>
    <w:rsid w:val="099579CD"/>
    <w:rsid w:val="099D7354"/>
    <w:rsid w:val="09A413DF"/>
    <w:rsid w:val="09CD1ADF"/>
    <w:rsid w:val="09DE67B4"/>
    <w:rsid w:val="09E15ABE"/>
    <w:rsid w:val="09F307FD"/>
    <w:rsid w:val="09F74E6A"/>
    <w:rsid w:val="0A0313AA"/>
    <w:rsid w:val="0A165F4E"/>
    <w:rsid w:val="0A1E4894"/>
    <w:rsid w:val="0A2075A9"/>
    <w:rsid w:val="0A255704"/>
    <w:rsid w:val="0A461467"/>
    <w:rsid w:val="0A4A209B"/>
    <w:rsid w:val="0A4D3FF7"/>
    <w:rsid w:val="0A5815D5"/>
    <w:rsid w:val="0A5A534E"/>
    <w:rsid w:val="0A6B1E4E"/>
    <w:rsid w:val="0A7D2D37"/>
    <w:rsid w:val="0A803280"/>
    <w:rsid w:val="0AA17473"/>
    <w:rsid w:val="0AA46249"/>
    <w:rsid w:val="0AAB19E9"/>
    <w:rsid w:val="0AAB1E48"/>
    <w:rsid w:val="0AB13EC9"/>
    <w:rsid w:val="0AB57259"/>
    <w:rsid w:val="0AC25D8A"/>
    <w:rsid w:val="0AD90BB3"/>
    <w:rsid w:val="0AE00071"/>
    <w:rsid w:val="0AE147AE"/>
    <w:rsid w:val="0AE64D6B"/>
    <w:rsid w:val="0AE93662"/>
    <w:rsid w:val="0B0C10FF"/>
    <w:rsid w:val="0B113FEA"/>
    <w:rsid w:val="0B1412DE"/>
    <w:rsid w:val="0B24469B"/>
    <w:rsid w:val="0B3348DE"/>
    <w:rsid w:val="0B45776E"/>
    <w:rsid w:val="0B570074"/>
    <w:rsid w:val="0B776EC0"/>
    <w:rsid w:val="0B94531B"/>
    <w:rsid w:val="0B9F01C5"/>
    <w:rsid w:val="0BB05F2E"/>
    <w:rsid w:val="0BB579E9"/>
    <w:rsid w:val="0BB70B72"/>
    <w:rsid w:val="0BD77845"/>
    <w:rsid w:val="0BDB7272"/>
    <w:rsid w:val="0BE050EC"/>
    <w:rsid w:val="0BE2713F"/>
    <w:rsid w:val="0BE43E2A"/>
    <w:rsid w:val="0BE91440"/>
    <w:rsid w:val="0BEA49C2"/>
    <w:rsid w:val="0BEB1E05"/>
    <w:rsid w:val="0C0149DC"/>
    <w:rsid w:val="0C14470F"/>
    <w:rsid w:val="0C181BB9"/>
    <w:rsid w:val="0C197F77"/>
    <w:rsid w:val="0C2414F2"/>
    <w:rsid w:val="0C2F02B1"/>
    <w:rsid w:val="0C3C77C2"/>
    <w:rsid w:val="0C460641"/>
    <w:rsid w:val="0C542D5E"/>
    <w:rsid w:val="0C564F40"/>
    <w:rsid w:val="0C580249"/>
    <w:rsid w:val="0C590374"/>
    <w:rsid w:val="0C6115A3"/>
    <w:rsid w:val="0C61547A"/>
    <w:rsid w:val="0C650D1C"/>
    <w:rsid w:val="0C6531BD"/>
    <w:rsid w:val="0C6A7729"/>
    <w:rsid w:val="0C6C00A7"/>
    <w:rsid w:val="0C701E48"/>
    <w:rsid w:val="0C715D67"/>
    <w:rsid w:val="0C796C68"/>
    <w:rsid w:val="0C8327D8"/>
    <w:rsid w:val="0CAF3818"/>
    <w:rsid w:val="0CCA67CF"/>
    <w:rsid w:val="0CD72C71"/>
    <w:rsid w:val="0CF4009D"/>
    <w:rsid w:val="0D080CAB"/>
    <w:rsid w:val="0D181FDD"/>
    <w:rsid w:val="0D1A3FA7"/>
    <w:rsid w:val="0D2D733C"/>
    <w:rsid w:val="0D3C7221"/>
    <w:rsid w:val="0D3F57BC"/>
    <w:rsid w:val="0D4903E8"/>
    <w:rsid w:val="0D554FDF"/>
    <w:rsid w:val="0D812D76"/>
    <w:rsid w:val="0D865199"/>
    <w:rsid w:val="0D870F11"/>
    <w:rsid w:val="0D953036"/>
    <w:rsid w:val="0DA16476"/>
    <w:rsid w:val="0DA7094D"/>
    <w:rsid w:val="0DD028B8"/>
    <w:rsid w:val="0DEB14A0"/>
    <w:rsid w:val="0DF3381A"/>
    <w:rsid w:val="0DFC18FF"/>
    <w:rsid w:val="0DFC545B"/>
    <w:rsid w:val="0DFD40BC"/>
    <w:rsid w:val="0E1103DB"/>
    <w:rsid w:val="0E19600D"/>
    <w:rsid w:val="0E2230B3"/>
    <w:rsid w:val="0E292B05"/>
    <w:rsid w:val="0E3969FC"/>
    <w:rsid w:val="0E3B0AD2"/>
    <w:rsid w:val="0E3C5521"/>
    <w:rsid w:val="0E3F6D7F"/>
    <w:rsid w:val="0E406BE4"/>
    <w:rsid w:val="0E415563"/>
    <w:rsid w:val="0E44085B"/>
    <w:rsid w:val="0E51058C"/>
    <w:rsid w:val="0E5E27A7"/>
    <w:rsid w:val="0E621B3C"/>
    <w:rsid w:val="0E694C39"/>
    <w:rsid w:val="0E6A2D0C"/>
    <w:rsid w:val="0E832DBC"/>
    <w:rsid w:val="0E891F70"/>
    <w:rsid w:val="0E8A6F0A"/>
    <w:rsid w:val="0EA0238D"/>
    <w:rsid w:val="0EAA3109"/>
    <w:rsid w:val="0EB36461"/>
    <w:rsid w:val="0ECF491D"/>
    <w:rsid w:val="0ED10695"/>
    <w:rsid w:val="0ED91C40"/>
    <w:rsid w:val="0EE5037A"/>
    <w:rsid w:val="0EF61DD4"/>
    <w:rsid w:val="0F124079"/>
    <w:rsid w:val="0F154ED2"/>
    <w:rsid w:val="0F182768"/>
    <w:rsid w:val="0F3D1066"/>
    <w:rsid w:val="0F4318AE"/>
    <w:rsid w:val="0F476BAA"/>
    <w:rsid w:val="0F550D2F"/>
    <w:rsid w:val="0F5F3EF3"/>
    <w:rsid w:val="0F81185A"/>
    <w:rsid w:val="0F8A11E8"/>
    <w:rsid w:val="0F920DAF"/>
    <w:rsid w:val="0FA34899"/>
    <w:rsid w:val="0FB81F70"/>
    <w:rsid w:val="0FBF2BE4"/>
    <w:rsid w:val="0FC14ACF"/>
    <w:rsid w:val="0FD2175C"/>
    <w:rsid w:val="0FD97210"/>
    <w:rsid w:val="0FE16FFE"/>
    <w:rsid w:val="0FEA16DE"/>
    <w:rsid w:val="0FF57B46"/>
    <w:rsid w:val="10176C4B"/>
    <w:rsid w:val="102B64CB"/>
    <w:rsid w:val="103B43F1"/>
    <w:rsid w:val="103C6C09"/>
    <w:rsid w:val="10460FD2"/>
    <w:rsid w:val="10537C2A"/>
    <w:rsid w:val="105945AD"/>
    <w:rsid w:val="107C0AD5"/>
    <w:rsid w:val="10836D6B"/>
    <w:rsid w:val="10971DD4"/>
    <w:rsid w:val="10A81E6D"/>
    <w:rsid w:val="10B23F89"/>
    <w:rsid w:val="10BF2B1A"/>
    <w:rsid w:val="10CD23EC"/>
    <w:rsid w:val="10D3067A"/>
    <w:rsid w:val="10D52992"/>
    <w:rsid w:val="10F01DC4"/>
    <w:rsid w:val="110E7F0E"/>
    <w:rsid w:val="11423ACC"/>
    <w:rsid w:val="114502E5"/>
    <w:rsid w:val="114C04A7"/>
    <w:rsid w:val="11532505"/>
    <w:rsid w:val="115B4B8E"/>
    <w:rsid w:val="1170063A"/>
    <w:rsid w:val="11950D60"/>
    <w:rsid w:val="11983911"/>
    <w:rsid w:val="11BC7B17"/>
    <w:rsid w:val="11C04EF9"/>
    <w:rsid w:val="11C6025A"/>
    <w:rsid w:val="11C92146"/>
    <w:rsid w:val="11D16BFE"/>
    <w:rsid w:val="11D70C9D"/>
    <w:rsid w:val="11F23C9D"/>
    <w:rsid w:val="11F25FD8"/>
    <w:rsid w:val="11F748B7"/>
    <w:rsid w:val="1202590F"/>
    <w:rsid w:val="122A1BE2"/>
    <w:rsid w:val="124675EC"/>
    <w:rsid w:val="124B69B1"/>
    <w:rsid w:val="12530A34"/>
    <w:rsid w:val="127A1044"/>
    <w:rsid w:val="12844903"/>
    <w:rsid w:val="12975D5A"/>
    <w:rsid w:val="12A32349"/>
    <w:rsid w:val="12A97887"/>
    <w:rsid w:val="12D746E8"/>
    <w:rsid w:val="12DE7825"/>
    <w:rsid w:val="12E0534B"/>
    <w:rsid w:val="12E241F2"/>
    <w:rsid w:val="12EF7006"/>
    <w:rsid w:val="13051255"/>
    <w:rsid w:val="130D010A"/>
    <w:rsid w:val="13135DE5"/>
    <w:rsid w:val="132153A4"/>
    <w:rsid w:val="132711CC"/>
    <w:rsid w:val="1333437E"/>
    <w:rsid w:val="133527EE"/>
    <w:rsid w:val="1347361C"/>
    <w:rsid w:val="134C5B37"/>
    <w:rsid w:val="134F7488"/>
    <w:rsid w:val="136E0BA9"/>
    <w:rsid w:val="137724D7"/>
    <w:rsid w:val="137D0DEC"/>
    <w:rsid w:val="139A78AC"/>
    <w:rsid w:val="13A97E33"/>
    <w:rsid w:val="13CB37BB"/>
    <w:rsid w:val="13D01CA2"/>
    <w:rsid w:val="13D715B9"/>
    <w:rsid w:val="13D840E7"/>
    <w:rsid w:val="13DA1D84"/>
    <w:rsid w:val="13EE326C"/>
    <w:rsid w:val="140E7C96"/>
    <w:rsid w:val="141F3FD6"/>
    <w:rsid w:val="141F6347"/>
    <w:rsid w:val="14244F4B"/>
    <w:rsid w:val="142B3EFE"/>
    <w:rsid w:val="143875E2"/>
    <w:rsid w:val="143D133D"/>
    <w:rsid w:val="143D23F8"/>
    <w:rsid w:val="145948D0"/>
    <w:rsid w:val="146D2C0E"/>
    <w:rsid w:val="147E2727"/>
    <w:rsid w:val="1482555C"/>
    <w:rsid w:val="14903C4B"/>
    <w:rsid w:val="14981F13"/>
    <w:rsid w:val="149A0E1D"/>
    <w:rsid w:val="14A14401"/>
    <w:rsid w:val="14A14FAE"/>
    <w:rsid w:val="14A405FA"/>
    <w:rsid w:val="14A643E1"/>
    <w:rsid w:val="14B30A83"/>
    <w:rsid w:val="14B36905"/>
    <w:rsid w:val="14B95E54"/>
    <w:rsid w:val="14BB04A6"/>
    <w:rsid w:val="14C4249C"/>
    <w:rsid w:val="14DA31E0"/>
    <w:rsid w:val="14FB46BE"/>
    <w:rsid w:val="14FE1393"/>
    <w:rsid w:val="15053142"/>
    <w:rsid w:val="1509398A"/>
    <w:rsid w:val="15170DCC"/>
    <w:rsid w:val="151E215B"/>
    <w:rsid w:val="15266CD2"/>
    <w:rsid w:val="153B2D0D"/>
    <w:rsid w:val="154519A9"/>
    <w:rsid w:val="155838BF"/>
    <w:rsid w:val="155C0F77"/>
    <w:rsid w:val="15677FC7"/>
    <w:rsid w:val="15681628"/>
    <w:rsid w:val="157D50D3"/>
    <w:rsid w:val="158C5316"/>
    <w:rsid w:val="159E0D50"/>
    <w:rsid w:val="15A6300E"/>
    <w:rsid w:val="15A765F4"/>
    <w:rsid w:val="15B50F51"/>
    <w:rsid w:val="15C42D02"/>
    <w:rsid w:val="15E038B4"/>
    <w:rsid w:val="15E50ECA"/>
    <w:rsid w:val="15EC784C"/>
    <w:rsid w:val="15F54CEA"/>
    <w:rsid w:val="15F86E50"/>
    <w:rsid w:val="15FB06EE"/>
    <w:rsid w:val="15FD4466"/>
    <w:rsid w:val="16042BDA"/>
    <w:rsid w:val="1620386A"/>
    <w:rsid w:val="16351E52"/>
    <w:rsid w:val="165E3829"/>
    <w:rsid w:val="165ED746"/>
    <w:rsid w:val="166E409B"/>
    <w:rsid w:val="167364D6"/>
    <w:rsid w:val="168508AF"/>
    <w:rsid w:val="16897794"/>
    <w:rsid w:val="168A7CA2"/>
    <w:rsid w:val="168B7CC4"/>
    <w:rsid w:val="168F76A3"/>
    <w:rsid w:val="169049D9"/>
    <w:rsid w:val="169371AC"/>
    <w:rsid w:val="16992C04"/>
    <w:rsid w:val="16A4545E"/>
    <w:rsid w:val="16BF3D51"/>
    <w:rsid w:val="16DE7DF3"/>
    <w:rsid w:val="16E866A6"/>
    <w:rsid w:val="16F70EB5"/>
    <w:rsid w:val="16FF5B68"/>
    <w:rsid w:val="17011D34"/>
    <w:rsid w:val="17167F68"/>
    <w:rsid w:val="175954D4"/>
    <w:rsid w:val="1776627E"/>
    <w:rsid w:val="177B44AE"/>
    <w:rsid w:val="17824C23"/>
    <w:rsid w:val="17A252C5"/>
    <w:rsid w:val="17A25A3E"/>
    <w:rsid w:val="17B24ECC"/>
    <w:rsid w:val="17B60D70"/>
    <w:rsid w:val="17C47B21"/>
    <w:rsid w:val="17CA65CA"/>
    <w:rsid w:val="17D01F39"/>
    <w:rsid w:val="17D040E0"/>
    <w:rsid w:val="17E859B1"/>
    <w:rsid w:val="17ED415F"/>
    <w:rsid w:val="17F00BB3"/>
    <w:rsid w:val="17F55C88"/>
    <w:rsid w:val="18045B1F"/>
    <w:rsid w:val="181066D2"/>
    <w:rsid w:val="182D2E82"/>
    <w:rsid w:val="182D42C1"/>
    <w:rsid w:val="1842125D"/>
    <w:rsid w:val="184E25A5"/>
    <w:rsid w:val="18540BAD"/>
    <w:rsid w:val="1867206B"/>
    <w:rsid w:val="186832BA"/>
    <w:rsid w:val="187D363C"/>
    <w:rsid w:val="189C72B9"/>
    <w:rsid w:val="18A84B5D"/>
    <w:rsid w:val="18C767F4"/>
    <w:rsid w:val="18CB2D1F"/>
    <w:rsid w:val="18D14B90"/>
    <w:rsid w:val="18E8730D"/>
    <w:rsid w:val="18F1469E"/>
    <w:rsid w:val="1908331D"/>
    <w:rsid w:val="190A1374"/>
    <w:rsid w:val="1912647A"/>
    <w:rsid w:val="1915018F"/>
    <w:rsid w:val="19197809"/>
    <w:rsid w:val="193E08BC"/>
    <w:rsid w:val="19452647"/>
    <w:rsid w:val="196F6E68"/>
    <w:rsid w:val="19787FBA"/>
    <w:rsid w:val="1987413E"/>
    <w:rsid w:val="199D3F96"/>
    <w:rsid w:val="19A55F67"/>
    <w:rsid w:val="19BD6F2B"/>
    <w:rsid w:val="19C57049"/>
    <w:rsid w:val="19C77265"/>
    <w:rsid w:val="19DE2867"/>
    <w:rsid w:val="19EB3C30"/>
    <w:rsid w:val="19F00AA4"/>
    <w:rsid w:val="19F560B0"/>
    <w:rsid w:val="19FA58A0"/>
    <w:rsid w:val="19FD4A34"/>
    <w:rsid w:val="1A071DA8"/>
    <w:rsid w:val="1A0C0AFE"/>
    <w:rsid w:val="1A0C111B"/>
    <w:rsid w:val="1A1B4EBB"/>
    <w:rsid w:val="1A206975"/>
    <w:rsid w:val="1A3316EC"/>
    <w:rsid w:val="1A361806"/>
    <w:rsid w:val="1A392CF0"/>
    <w:rsid w:val="1A3E7706"/>
    <w:rsid w:val="1A4D0E7D"/>
    <w:rsid w:val="1A514D80"/>
    <w:rsid w:val="1A63212E"/>
    <w:rsid w:val="1A710F7F"/>
    <w:rsid w:val="1A7D7923"/>
    <w:rsid w:val="1A9A162C"/>
    <w:rsid w:val="1AAC0209"/>
    <w:rsid w:val="1ABE26CD"/>
    <w:rsid w:val="1AD11A1D"/>
    <w:rsid w:val="1AD7023E"/>
    <w:rsid w:val="1ADF0A76"/>
    <w:rsid w:val="1AFD5B58"/>
    <w:rsid w:val="1B031645"/>
    <w:rsid w:val="1B0911B7"/>
    <w:rsid w:val="1B150A81"/>
    <w:rsid w:val="1B1A33C4"/>
    <w:rsid w:val="1B31372F"/>
    <w:rsid w:val="1B325C1D"/>
    <w:rsid w:val="1B394099"/>
    <w:rsid w:val="1B3A5AA4"/>
    <w:rsid w:val="1B3F349C"/>
    <w:rsid w:val="1B6A60FA"/>
    <w:rsid w:val="1B883014"/>
    <w:rsid w:val="1B8B5518"/>
    <w:rsid w:val="1B994EDC"/>
    <w:rsid w:val="1BA33A56"/>
    <w:rsid w:val="1BB2427A"/>
    <w:rsid w:val="1BBB0703"/>
    <w:rsid w:val="1BC25F36"/>
    <w:rsid w:val="1BEF65FF"/>
    <w:rsid w:val="1BF94E9C"/>
    <w:rsid w:val="1C0A608B"/>
    <w:rsid w:val="1C284EF1"/>
    <w:rsid w:val="1C450915"/>
    <w:rsid w:val="1C454471"/>
    <w:rsid w:val="1C5503EA"/>
    <w:rsid w:val="1C56667E"/>
    <w:rsid w:val="1C971AA2"/>
    <w:rsid w:val="1C9A47BD"/>
    <w:rsid w:val="1CA26170"/>
    <w:rsid w:val="1CA71756"/>
    <w:rsid w:val="1CAC41EF"/>
    <w:rsid w:val="1CAE200A"/>
    <w:rsid w:val="1CC551DB"/>
    <w:rsid w:val="1CD12A1F"/>
    <w:rsid w:val="1CDD28FB"/>
    <w:rsid w:val="1CE27F12"/>
    <w:rsid w:val="1CE800BA"/>
    <w:rsid w:val="1D083E1C"/>
    <w:rsid w:val="1D0E13A6"/>
    <w:rsid w:val="1D177BE6"/>
    <w:rsid w:val="1D3E783E"/>
    <w:rsid w:val="1D484219"/>
    <w:rsid w:val="1D682B0D"/>
    <w:rsid w:val="1D6A2A74"/>
    <w:rsid w:val="1D7A1277"/>
    <w:rsid w:val="1D7C0A94"/>
    <w:rsid w:val="1D85546D"/>
    <w:rsid w:val="1D921938"/>
    <w:rsid w:val="1DA01F5E"/>
    <w:rsid w:val="1DA07B40"/>
    <w:rsid w:val="1DA135CF"/>
    <w:rsid w:val="1DA320B5"/>
    <w:rsid w:val="1DAD0520"/>
    <w:rsid w:val="1DB4365C"/>
    <w:rsid w:val="1DBB3783"/>
    <w:rsid w:val="1DBE44DB"/>
    <w:rsid w:val="1DCE0336"/>
    <w:rsid w:val="1DE06B47"/>
    <w:rsid w:val="1DE15D88"/>
    <w:rsid w:val="1DFB5CC2"/>
    <w:rsid w:val="1DFD26DA"/>
    <w:rsid w:val="1E0068A1"/>
    <w:rsid w:val="1E0345E3"/>
    <w:rsid w:val="1E1E4F79"/>
    <w:rsid w:val="1E28404A"/>
    <w:rsid w:val="1E29229C"/>
    <w:rsid w:val="1E294C73"/>
    <w:rsid w:val="1E340C41"/>
    <w:rsid w:val="1E407D11"/>
    <w:rsid w:val="1E5C100C"/>
    <w:rsid w:val="1E660292"/>
    <w:rsid w:val="1E6F3A27"/>
    <w:rsid w:val="1E871679"/>
    <w:rsid w:val="1EB02C25"/>
    <w:rsid w:val="1ED006F4"/>
    <w:rsid w:val="1ED63D42"/>
    <w:rsid w:val="1EDB2E6A"/>
    <w:rsid w:val="1EE658E6"/>
    <w:rsid w:val="1EE835BB"/>
    <w:rsid w:val="1EF06916"/>
    <w:rsid w:val="1EF47E01"/>
    <w:rsid w:val="1EF95C2D"/>
    <w:rsid w:val="1F037A7A"/>
    <w:rsid w:val="1F0521B6"/>
    <w:rsid w:val="1F18770D"/>
    <w:rsid w:val="1F1D3483"/>
    <w:rsid w:val="1F336A23"/>
    <w:rsid w:val="1F365B8A"/>
    <w:rsid w:val="1F3B1605"/>
    <w:rsid w:val="1F51108A"/>
    <w:rsid w:val="1F7312F5"/>
    <w:rsid w:val="1F8A4FBC"/>
    <w:rsid w:val="1F8A6B75"/>
    <w:rsid w:val="1F8B2AE2"/>
    <w:rsid w:val="1F9702DD"/>
    <w:rsid w:val="1FA634D1"/>
    <w:rsid w:val="1FA6791C"/>
    <w:rsid w:val="1FAD5865"/>
    <w:rsid w:val="1FB042F7"/>
    <w:rsid w:val="1FB931AC"/>
    <w:rsid w:val="1FD26D71"/>
    <w:rsid w:val="1FDA4BD0"/>
    <w:rsid w:val="1FEA5A5B"/>
    <w:rsid w:val="1FEC069B"/>
    <w:rsid w:val="200C2298"/>
    <w:rsid w:val="202B1BD0"/>
    <w:rsid w:val="202E71D9"/>
    <w:rsid w:val="20432CD8"/>
    <w:rsid w:val="204333BD"/>
    <w:rsid w:val="20566C4C"/>
    <w:rsid w:val="205E0A20"/>
    <w:rsid w:val="206F5F60"/>
    <w:rsid w:val="207F79EB"/>
    <w:rsid w:val="20983709"/>
    <w:rsid w:val="209E05F3"/>
    <w:rsid w:val="20AD2EFC"/>
    <w:rsid w:val="20B20902"/>
    <w:rsid w:val="20B21977"/>
    <w:rsid w:val="20CA3197"/>
    <w:rsid w:val="20DA787E"/>
    <w:rsid w:val="20DB747C"/>
    <w:rsid w:val="20DF09CE"/>
    <w:rsid w:val="20DF7FF3"/>
    <w:rsid w:val="20F16975"/>
    <w:rsid w:val="20F47F78"/>
    <w:rsid w:val="20FB336F"/>
    <w:rsid w:val="21034729"/>
    <w:rsid w:val="210B6C7C"/>
    <w:rsid w:val="211F06D4"/>
    <w:rsid w:val="21241616"/>
    <w:rsid w:val="213827F6"/>
    <w:rsid w:val="213B5E42"/>
    <w:rsid w:val="2153519A"/>
    <w:rsid w:val="21596E46"/>
    <w:rsid w:val="215B1C7B"/>
    <w:rsid w:val="216F5531"/>
    <w:rsid w:val="21717AB6"/>
    <w:rsid w:val="21764AAC"/>
    <w:rsid w:val="2181419D"/>
    <w:rsid w:val="21817CF9"/>
    <w:rsid w:val="21821CC3"/>
    <w:rsid w:val="2188552B"/>
    <w:rsid w:val="21902632"/>
    <w:rsid w:val="21A734D8"/>
    <w:rsid w:val="21CC4EFF"/>
    <w:rsid w:val="21CF2364"/>
    <w:rsid w:val="21D064B7"/>
    <w:rsid w:val="21DE514B"/>
    <w:rsid w:val="21F52495"/>
    <w:rsid w:val="21FB01ED"/>
    <w:rsid w:val="22067DBB"/>
    <w:rsid w:val="220D5A31"/>
    <w:rsid w:val="22185B05"/>
    <w:rsid w:val="22206D71"/>
    <w:rsid w:val="22247FB3"/>
    <w:rsid w:val="22280ABD"/>
    <w:rsid w:val="222B5DAC"/>
    <w:rsid w:val="222D1C2F"/>
    <w:rsid w:val="22451EDF"/>
    <w:rsid w:val="22471449"/>
    <w:rsid w:val="224776A3"/>
    <w:rsid w:val="22552F34"/>
    <w:rsid w:val="225E18D7"/>
    <w:rsid w:val="22714212"/>
    <w:rsid w:val="227D2BB6"/>
    <w:rsid w:val="228147B0"/>
    <w:rsid w:val="228C1E1D"/>
    <w:rsid w:val="22922385"/>
    <w:rsid w:val="22B2018B"/>
    <w:rsid w:val="22C5234C"/>
    <w:rsid w:val="22C73E32"/>
    <w:rsid w:val="22D57F01"/>
    <w:rsid w:val="22E21256"/>
    <w:rsid w:val="2306246B"/>
    <w:rsid w:val="2324612D"/>
    <w:rsid w:val="2338088B"/>
    <w:rsid w:val="23564BBB"/>
    <w:rsid w:val="235A693F"/>
    <w:rsid w:val="236C2E3A"/>
    <w:rsid w:val="237028D2"/>
    <w:rsid w:val="23872954"/>
    <w:rsid w:val="238A1303"/>
    <w:rsid w:val="239552AE"/>
    <w:rsid w:val="23BC3D8D"/>
    <w:rsid w:val="23CD0646"/>
    <w:rsid w:val="23F63DA1"/>
    <w:rsid w:val="2406282D"/>
    <w:rsid w:val="241C01AD"/>
    <w:rsid w:val="241F7523"/>
    <w:rsid w:val="244119C2"/>
    <w:rsid w:val="244F216D"/>
    <w:rsid w:val="245A2A83"/>
    <w:rsid w:val="246D27B7"/>
    <w:rsid w:val="246F652F"/>
    <w:rsid w:val="24773635"/>
    <w:rsid w:val="247754E4"/>
    <w:rsid w:val="24807285"/>
    <w:rsid w:val="2483022C"/>
    <w:rsid w:val="248B560C"/>
    <w:rsid w:val="248D4B41"/>
    <w:rsid w:val="249F5F0C"/>
    <w:rsid w:val="24B16B47"/>
    <w:rsid w:val="24D56D1F"/>
    <w:rsid w:val="24D6035C"/>
    <w:rsid w:val="24D73992"/>
    <w:rsid w:val="24F4396E"/>
    <w:rsid w:val="24F657F8"/>
    <w:rsid w:val="250F3D02"/>
    <w:rsid w:val="251C66F2"/>
    <w:rsid w:val="252A5A7D"/>
    <w:rsid w:val="252B75E8"/>
    <w:rsid w:val="254856AA"/>
    <w:rsid w:val="25675458"/>
    <w:rsid w:val="257127D7"/>
    <w:rsid w:val="25740EFF"/>
    <w:rsid w:val="25776AA4"/>
    <w:rsid w:val="258129BE"/>
    <w:rsid w:val="258D4013"/>
    <w:rsid w:val="258E73D0"/>
    <w:rsid w:val="25985A2A"/>
    <w:rsid w:val="259C1387"/>
    <w:rsid w:val="25A33A7B"/>
    <w:rsid w:val="25B07B71"/>
    <w:rsid w:val="25B35268"/>
    <w:rsid w:val="25D36F91"/>
    <w:rsid w:val="25DB386D"/>
    <w:rsid w:val="25F360C1"/>
    <w:rsid w:val="260158AC"/>
    <w:rsid w:val="26042C02"/>
    <w:rsid w:val="2616223D"/>
    <w:rsid w:val="26170C2C"/>
    <w:rsid w:val="26187541"/>
    <w:rsid w:val="261A1DCE"/>
    <w:rsid w:val="2634178C"/>
    <w:rsid w:val="26352C7E"/>
    <w:rsid w:val="26443B37"/>
    <w:rsid w:val="26541E80"/>
    <w:rsid w:val="265B4412"/>
    <w:rsid w:val="266968D8"/>
    <w:rsid w:val="26793695"/>
    <w:rsid w:val="26905F7C"/>
    <w:rsid w:val="26964247"/>
    <w:rsid w:val="269765EE"/>
    <w:rsid w:val="269C477E"/>
    <w:rsid w:val="269D57F1"/>
    <w:rsid w:val="26A06C4B"/>
    <w:rsid w:val="26A10437"/>
    <w:rsid w:val="26C1503C"/>
    <w:rsid w:val="26C36CD4"/>
    <w:rsid w:val="26C87453"/>
    <w:rsid w:val="26D029C8"/>
    <w:rsid w:val="26D47FF5"/>
    <w:rsid w:val="26EF3957"/>
    <w:rsid w:val="27054F28"/>
    <w:rsid w:val="271433BD"/>
    <w:rsid w:val="271A7A0C"/>
    <w:rsid w:val="27220E53"/>
    <w:rsid w:val="272F01F7"/>
    <w:rsid w:val="273F484E"/>
    <w:rsid w:val="27463F27"/>
    <w:rsid w:val="274A4C06"/>
    <w:rsid w:val="274A5031"/>
    <w:rsid w:val="27537E91"/>
    <w:rsid w:val="275C47B4"/>
    <w:rsid w:val="27602AA7"/>
    <w:rsid w:val="276611FC"/>
    <w:rsid w:val="27895F06"/>
    <w:rsid w:val="278B7B24"/>
    <w:rsid w:val="278C4E13"/>
    <w:rsid w:val="279B3ADF"/>
    <w:rsid w:val="279F4A2C"/>
    <w:rsid w:val="279F537D"/>
    <w:rsid w:val="27AF08F4"/>
    <w:rsid w:val="27B30E28"/>
    <w:rsid w:val="27B44754"/>
    <w:rsid w:val="27B56D73"/>
    <w:rsid w:val="27C53710"/>
    <w:rsid w:val="27D70CD3"/>
    <w:rsid w:val="27D8263D"/>
    <w:rsid w:val="27DF6A9D"/>
    <w:rsid w:val="27E9484A"/>
    <w:rsid w:val="27EC78F4"/>
    <w:rsid w:val="27ED433A"/>
    <w:rsid w:val="2808097C"/>
    <w:rsid w:val="28137B19"/>
    <w:rsid w:val="281E5CAC"/>
    <w:rsid w:val="28245882"/>
    <w:rsid w:val="28251939"/>
    <w:rsid w:val="28341F69"/>
    <w:rsid w:val="283C7070"/>
    <w:rsid w:val="283D19F1"/>
    <w:rsid w:val="28410850"/>
    <w:rsid w:val="28506677"/>
    <w:rsid w:val="28604D24"/>
    <w:rsid w:val="28722A91"/>
    <w:rsid w:val="28732366"/>
    <w:rsid w:val="28820999"/>
    <w:rsid w:val="288E32E3"/>
    <w:rsid w:val="288F4CB7"/>
    <w:rsid w:val="289A5B44"/>
    <w:rsid w:val="28AD3ACA"/>
    <w:rsid w:val="28BD7821"/>
    <w:rsid w:val="28DF1942"/>
    <w:rsid w:val="28E219C5"/>
    <w:rsid w:val="28E6366A"/>
    <w:rsid w:val="28EE57EA"/>
    <w:rsid w:val="28F00DEC"/>
    <w:rsid w:val="28FC05AD"/>
    <w:rsid w:val="28FD7C03"/>
    <w:rsid w:val="29001E4B"/>
    <w:rsid w:val="29024A6B"/>
    <w:rsid w:val="2936586D"/>
    <w:rsid w:val="295D7C7F"/>
    <w:rsid w:val="2961753E"/>
    <w:rsid w:val="296532A7"/>
    <w:rsid w:val="299122C8"/>
    <w:rsid w:val="29932CBF"/>
    <w:rsid w:val="299D267C"/>
    <w:rsid w:val="299E0A64"/>
    <w:rsid w:val="29A924E3"/>
    <w:rsid w:val="29B707D5"/>
    <w:rsid w:val="29BC1949"/>
    <w:rsid w:val="29C602BF"/>
    <w:rsid w:val="29CE21D5"/>
    <w:rsid w:val="29CF6476"/>
    <w:rsid w:val="29DC1AF8"/>
    <w:rsid w:val="29E9427C"/>
    <w:rsid w:val="29EE7EF6"/>
    <w:rsid w:val="29F21E5A"/>
    <w:rsid w:val="29F25D40"/>
    <w:rsid w:val="29F51284"/>
    <w:rsid w:val="29FA2D3E"/>
    <w:rsid w:val="29FF66AF"/>
    <w:rsid w:val="2A092F82"/>
    <w:rsid w:val="2A0D4A29"/>
    <w:rsid w:val="2A1076EE"/>
    <w:rsid w:val="2A11432E"/>
    <w:rsid w:val="2A1E42EE"/>
    <w:rsid w:val="2A1F3FB8"/>
    <w:rsid w:val="2A2540A7"/>
    <w:rsid w:val="2A2B6B34"/>
    <w:rsid w:val="2A3D38A8"/>
    <w:rsid w:val="2A4E6BE6"/>
    <w:rsid w:val="2A541364"/>
    <w:rsid w:val="2A550522"/>
    <w:rsid w:val="2A5707B7"/>
    <w:rsid w:val="2A574D65"/>
    <w:rsid w:val="2A62278A"/>
    <w:rsid w:val="2A663F30"/>
    <w:rsid w:val="2A85785A"/>
    <w:rsid w:val="2A862824"/>
    <w:rsid w:val="2A8A3F28"/>
    <w:rsid w:val="2A8E40D1"/>
    <w:rsid w:val="2A925C4D"/>
    <w:rsid w:val="2A9A6739"/>
    <w:rsid w:val="2ADB491E"/>
    <w:rsid w:val="2ADB6A40"/>
    <w:rsid w:val="2AED3036"/>
    <w:rsid w:val="2AF3434F"/>
    <w:rsid w:val="2AF91248"/>
    <w:rsid w:val="2B064A5F"/>
    <w:rsid w:val="2B0D7A59"/>
    <w:rsid w:val="2B134BF1"/>
    <w:rsid w:val="2B14220F"/>
    <w:rsid w:val="2B1A5E20"/>
    <w:rsid w:val="2B2C517A"/>
    <w:rsid w:val="2B307207"/>
    <w:rsid w:val="2B3E1E16"/>
    <w:rsid w:val="2B3E4EAD"/>
    <w:rsid w:val="2B603075"/>
    <w:rsid w:val="2B6C2D35"/>
    <w:rsid w:val="2B8054C5"/>
    <w:rsid w:val="2B823F42"/>
    <w:rsid w:val="2B911481"/>
    <w:rsid w:val="2B9D598B"/>
    <w:rsid w:val="2BA07916"/>
    <w:rsid w:val="2BB65430"/>
    <w:rsid w:val="2BBA09D7"/>
    <w:rsid w:val="2BBD6F80"/>
    <w:rsid w:val="2BBE1B4A"/>
    <w:rsid w:val="2BC26E12"/>
    <w:rsid w:val="2BC41E9E"/>
    <w:rsid w:val="2BD84A44"/>
    <w:rsid w:val="2BEF0DB7"/>
    <w:rsid w:val="2BF25968"/>
    <w:rsid w:val="2BF33EE9"/>
    <w:rsid w:val="2BF67536"/>
    <w:rsid w:val="2C062715"/>
    <w:rsid w:val="2C073B07"/>
    <w:rsid w:val="2C0F0D1A"/>
    <w:rsid w:val="2C144DE1"/>
    <w:rsid w:val="2C1A6058"/>
    <w:rsid w:val="2C232517"/>
    <w:rsid w:val="2C3B13EC"/>
    <w:rsid w:val="2C444745"/>
    <w:rsid w:val="2C49364A"/>
    <w:rsid w:val="2C5D3D48"/>
    <w:rsid w:val="2C6941AB"/>
    <w:rsid w:val="2C994D48"/>
    <w:rsid w:val="2C9C575C"/>
    <w:rsid w:val="2CAC7D40"/>
    <w:rsid w:val="2CAE7E10"/>
    <w:rsid w:val="2CB01DDA"/>
    <w:rsid w:val="2CB2655E"/>
    <w:rsid w:val="2CBA4A07"/>
    <w:rsid w:val="2CC14886"/>
    <w:rsid w:val="2CC802A6"/>
    <w:rsid w:val="2CC82C80"/>
    <w:rsid w:val="2CCD47E1"/>
    <w:rsid w:val="2CCE509E"/>
    <w:rsid w:val="2CDF621C"/>
    <w:rsid w:val="2CE455E0"/>
    <w:rsid w:val="2CEA709A"/>
    <w:rsid w:val="2CFE5595"/>
    <w:rsid w:val="2D0068BE"/>
    <w:rsid w:val="2D0B094E"/>
    <w:rsid w:val="2D0D0FDB"/>
    <w:rsid w:val="2D0F6B01"/>
    <w:rsid w:val="2D214861"/>
    <w:rsid w:val="2D3E01C2"/>
    <w:rsid w:val="2D430559"/>
    <w:rsid w:val="2D4F1034"/>
    <w:rsid w:val="2D57250A"/>
    <w:rsid w:val="2D656721"/>
    <w:rsid w:val="2D687FBF"/>
    <w:rsid w:val="2D7D7F0E"/>
    <w:rsid w:val="2DEB51C7"/>
    <w:rsid w:val="2DF30594"/>
    <w:rsid w:val="2DF469DD"/>
    <w:rsid w:val="2DFA12E6"/>
    <w:rsid w:val="2DFD4BAB"/>
    <w:rsid w:val="2E057F04"/>
    <w:rsid w:val="2E165C6D"/>
    <w:rsid w:val="2E2C1D2C"/>
    <w:rsid w:val="2E2F65A9"/>
    <w:rsid w:val="2E3214A7"/>
    <w:rsid w:val="2E3214EB"/>
    <w:rsid w:val="2E34274B"/>
    <w:rsid w:val="2E50117F"/>
    <w:rsid w:val="2E5549E7"/>
    <w:rsid w:val="2E6C3ADF"/>
    <w:rsid w:val="2E7B1F74"/>
    <w:rsid w:val="2EC01339"/>
    <w:rsid w:val="2ECD6C74"/>
    <w:rsid w:val="2ED753FC"/>
    <w:rsid w:val="2EE63891"/>
    <w:rsid w:val="2F0471F0"/>
    <w:rsid w:val="2F48454C"/>
    <w:rsid w:val="2F58205D"/>
    <w:rsid w:val="2F58294A"/>
    <w:rsid w:val="2F635763"/>
    <w:rsid w:val="2F6649D7"/>
    <w:rsid w:val="2F6839E5"/>
    <w:rsid w:val="2F772127"/>
    <w:rsid w:val="2F805153"/>
    <w:rsid w:val="2F8B762C"/>
    <w:rsid w:val="2F9809AC"/>
    <w:rsid w:val="2FB24EDB"/>
    <w:rsid w:val="2FB253F1"/>
    <w:rsid w:val="2FCF2502"/>
    <w:rsid w:val="2FE46097"/>
    <w:rsid w:val="2FEB468A"/>
    <w:rsid w:val="300E7C26"/>
    <w:rsid w:val="30161EDF"/>
    <w:rsid w:val="301B756B"/>
    <w:rsid w:val="30254A86"/>
    <w:rsid w:val="30300DB8"/>
    <w:rsid w:val="303C3716"/>
    <w:rsid w:val="304C31C1"/>
    <w:rsid w:val="305D3C49"/>
    <w:rsid w:val="305E0D81"/>
    <w:rsid w:val="30773333"/>
    <w:rsid w:val="30841E49"/>
    <w:rsid w:val="30A6777C"/>
    <w:rsid w:val="30D00355"/>
    <w:rsid w:val="30D372B6"/>
    <w:rsid w:val="30DA30E2"/>
    <w:rsid w:val="310067A4"/>
    <w:rsid w:val="310219BD"/>
    <w:rsid w:val="311A5009"/>
    <w:rsid w:val="31373BCA"/>
    <w:rsid w:val="31384DEF"/>
    <w:rsid w:val="31515E1F"/>
    <w:rsid w:val="317F3B29"/>
    <w:rsid w:val="3185665C"/>
    <w:rsid w:val="31917EDC"/>
    <w:rsid w:val="31942B24"/>
    <w:rsid w:val="319652AB"/>
    <w:rsid w:val="319E0453"/>
    <w:rsid w:val="31BB0EF4"/>
    <w:rsid w:val="31BE4652"/>
    <w:rsid w:val="31C31FDA"/>
    <w:rsid w:val="31EE13DB"/>
    <w:rsid w:val="31F22A6A"/>
    <w:rsid w:val="320329AC"/>
    <w:rsid w:val="320C3841"/>
    <w:rsid w:val="32135997"/>
    <w:rsid w:val="322B6B90"/>
    <w:rsid w:val="323B3EF4"/>
    <w:rsid w:val="32454D73"/>
    <w:rsid w:val="324A4137"/>
    <w:rsid w:val="324C2981"/>
    <w:rsid w:val="32536FC0"/>
    <w:rsid w:val="32544FB6"/>
    <w:rsid w:val="325925CC"/>
    <w:rsid w:val="326A3142"/>
    <w:rsid w:val="32831529"/>
    <w:rsid w:val="32AD2B0C"/>
    <w:rsid w:val="32B05F83"/>
    <w:rsid w:val="32B734DB"/>
    <w:rsid w:val="32C14EA5"/>
    <w:rsid w:val="32D35BE0"/>
    <w:rsid w:val="32D951DF"/>
    <w:rsid w:val="32DA4C7A"/>
    <w:rsid w:val="32E4458C"/>
    <w:rsid w:val="32EB5898"/>
    <w:rsid w:val="32F2570E"/>
    <w:rsid w:val="3304078A"/>
    <w:rsid w:val="33182487"/>
    <w:rsid w:val="33266952"/>
    <w:rsid w:val="3326743F"/>
    <w:rsid w:val="332826CA"/>
    <w:rsid w:val="332E3A59"/>
    <w:rsid w:val="33316D0F"/>
    <w:rsid w:val="333D2DBA"/>
    <w:rsid w:val="3341378C"/>
    <w:rsid w:val="33492641"/>
    <w:rsid w:val="33552D94"/>
    <w:rsid w:val="33563E16"/>
    <w:rsid w:val="3364747B"/>
    <w:rsid w:val="336B797B"/>
    <w:rsid w:val="336D0C3D"/>
    <w:rsid w:val="336D632F"/>
    <w:rsid w:val="337C2AE4"/>
    <w:rsid w:val="33975F7A"/>
    <w:rsid w:val="339A2E9C"/>
    <w:rsid w:val="33A120A2"/>
    <w:rsid w:val="33AE06F6"/>
    <w:rsid w:val="33B179EA"/>
    <w:rsid w:val="33B6567E"/>
    <w:rsid w:val="33BB25E5"/>
    <w:rsid w:val="33BF47B3"/>
    <w:rsid w:val="33CF1FEB"/>
    <w:rsid w:val="33D26ADA"/>
    <w:rsid w:val="33E10F06"/>
    <w:rsid w:val="34056568"/>
    <w:rsid w:val="340B29F3"/>
    <w:rsid w:val="34242460"/>
    <w:rsid w:val="34337309"/>
    <w:rsid w:val="34394463"/>
    <w:rsid w:val="343D5F11"/>
    <w:rsid w:val="34401C96"/>
    <w:rsid w:val="3449269E"/>
    <w:rsid w:val="34530CB5"/>
    <w:rsid w:val="34575A08"/>
    <w:rsid w:val="347A5606"/>
    <w:rsid w:val="34873421"/>
    <w:rsid w:val="348938A8"/>
    <w:rsid w:val="34894638"/>
    <w:rsid w:val="349B72A1"/>
    <w:rsid w:val="34A75871"/>
    <w:rsid w:val="34AC2E87"/>
    <w:rsid w:val="34AC4388"/>
    <w:rsid w:val="34AF1B79"/>
    <w:rsid w:val="34C46423"/>
    <w:rsid w:val="34CA3461"/>
    <w:rsid w:val="34D348B8"/>
    <w:rsid w:val="34D45F9E"/>
    <w:rsid w:val="34D84A69"/>
    <w:rsid w:val="35010704"/>
    <w:rsid w:val="350248A7"/>
    <w:rsid w:val="350E0E9E"/>
    <w:rsid w:val="35117CA8"/>
    <w:rsid w:val="35207433"/>
    <w:rsid w:val="35223149"/>
    <w:rsid w:val="35352E7D"/>
    <w:rsid w:val="35370077"/>
    <w:rsid w:val="353F5AA9"/>
    <w:rsid w:val="354C01C6"/>
    <w:rsid w:val="35523A2F"/>
    <w:rsid w:val="35571045"/>
    <w:rsid w:val="3575771D"/>
    <w:rsid w:val="357F67EE"/>
    <w:rsid w:val="358E41A2"/>
    <w:rsid w:val="359B3DB1"/>
    <w:rsid w:val="35A90C1C"/>
    <w:rsid w:val="35AD27ED"/>
    <w:rsid w:val="35B244CD"/>
    <w:rsid w:val="35B30266"/>
    <w:rsid w:val="35BB7FE5"/>
    <w:rsid w:val="35C10BB4"/>
    <w:rsid w:val="35CE1396"/>
    <w:rsid w:val="35F04FF6"/>
    <w:rsid w:val="3600792F"/>
    <w:rsid w:val="360A31E9"/>
    <w:rsid w:val="3639581A"/>
    <w:rsid w:val="363D28C0"/>
    <w:rsid w:val="365E5904"/>
    <w:rsid w:val="36614CDB"/>
    <w:rsid w:val="36633A19"/>
    <w:rsid w:val="36716136"/>
    <w:rsid w:val="3677258B"/>
    <w:rsid w:val="368D0A96"/>
    <w:rsid w:val="368E4F3A"/>
    <w:rsid w:val="36AA6E46"/>
    <w:rsid w:val="36B83BC4"/>
    <w:rsid w:val="36C3270A"/>
    <w:rsid w:val="36C52F4E"/>
    <w:rsid w:val="36D764E2"/>
    <w:rsid w:val="36D84407"/>
    <w:rsid w:val="36EE7787"/>
    <w:rsid w:val="36F6663C"/>
    <w:rsid w:val="37017D63"/>
    <w:rsid w:val="370451FC"/>
    <w:rsid w:val="37060F75"/>
    <w:rsid w:val="37112367"/>
    <w:rsid w:val="371B5CA6"/>
    <w:rsid w:val="371D178F"/>
    <w:rsid w:val="371E11FA"/>
    <w:rsid w:val="37217B66"/>
    <w:rsid w:val="37313B18"/>
    <w:rsid w:val="37427AD3"/>
    <w:rsid w:val="374B2E2B"/>
    <w:rsid w:val="37773C20"/>
    <w:rsid w:val="377C4D93"/>
    <w:rsid w:val="378325C5"/>
    <w:rsid w:val="379713C4"/>
    <w:rsid w:val="37A367C3"/>
    <w:rsid w:val="37B3452D"/>
    <w:rsid w:val="37C36E66"/>
    <w:rsid w:val="37D0275B"/>
    <w:rsid w:val="37D90CB7"/>
    <w:rsid w:val="37DA41AF"/>
    <w:rsid w:val="37DE79B8"/>
    <w:rsid w:val="37DF6805"/>
    <w:rsid w:val="37F73124"/>
    <w:rsid w:val="38073105"/>
    <w:rsid w:val="38090687"/>
    <w:rsid w:val="38206066"/>
    <w:rsid w:val="382439B7"/>
    <w:rsid w:val="383715B7"/>
    <w:rsid w:val="38462F20"/>
    <w:rsid w:val="38466D7A"/>
    <w:rsid w:val="384F06F9"/>
    <w:rsid w:val="385126EE"/>
    <w:rsid w:val="38584D1E"/>
    <w:rsid w:val="385C2E16"/>
    <w:rsid w:val="386901E1"/>
    <w:rsid w:val="387F629D"/>
    <w:rsid w:val="38910D12"/>
    <w:rsid w:val="38D35404"/>
    <w:rsid w:val="390C65EA"/>
    <w:rsid w:val="39286F71"/>
    <w:rsid w:val="39317DFF"/>
    <w:rsid w:val="393548CD"/>
    <w:rsid w:val="39445D84"/>
    <w:rsid w:val="394E275F"/>
    <w:rsid w:val="39736EAD"/>
    <w:rsid w:val="39745DED"/>
    <w:rsid w:val="39857824"/>
    <w:rsid w:val="39D23390"/>
    <w:rsid w:val="39D864CC"/>
    <w:rsid w:val="39D9214D"/>
    <w:rsid w:val="39E021E0"/>
    <w:rsid w:val="39EA3E68"/>
    <w:rsid w:val="39F96B6F"/>
    <w:rsid w:val="3A137505"/>
    <w:rsid w:val="3A1C0AAF"/>
    <w:rsid w:val="3A1F43F5"/>
    <w:rsid w:val="3A2F5D94"/>
    <w:rsid w:val="3A380C4D"/>
    <w:rsid w:val="3A3951BD"/>
    <w:rsid w:val="3A620990"/>
    <w:rsid w:val="3A657F4A"/>
    <w:rsid w:val="3A6C5593"/>
    <w:rsid w:val="3A76731C"/>
    <w:rsid w:val="3A777A93"/>
    <w:rsid w:val="3A9C574C"/>
    <w:rsid w:val="3A9F115B"/>
    <w:rsid w:val="3AAA33BC"/>
    <w:rsid w:val="3AAE7ED9"/>
    <w:rsid w:val="3AB77D3F"/>
    <w:rsid w:val="3ABE1B66"/>
    <w:rsid w:val="3AC40A7C"/>
    <w:rsid w:val="3ACB0650"/>
    <w:rsid w:val="3AD44EE6"/>
    <w:rsid w:val="3AE01ADD"/>
    <w:rsid w:val="3AF70BD4"/>
    <w:rsid w:val="3B0D21A6"/>
    <w:rsid w:val="3B2200BC"/>
    <w:rsid w:val="3B351E28"/>
    <w:rsid w:val="3B393FA9"/>
    <w:rsid w:val="3B3C6B32"/>
    <w:rsid w:val="3B4F6E64"/>
    <w:rsid w:val="3B537005"/>
    <w:rsid w:val="3B5953EB"/>
    <w:rsid w:val="3B5B660B"/>
    <w:rsid w:val="3B5D312D"/>
    <w:rsid w:val="3B64626A"/>
    <w:rsid w:val="3B8713FA"/>
    <w:rsid w:val="3B8D7ECC"/>
    <w:rsid w:val="3B904EBE"/>
    <w:rsid w:val="3BA233A6"/>
    <w:rsid w:val="3BA743A8"/>
    <w:rsid w:val="3BAF373F"/>
    <w:rsid w:val="3BCE6316"/>
    <w:rsid w:val="3BE70FF9"/>
    <w:rsid w:val="3BE9676F"/>
    <w:rsid w:val="3BEB0401"/>
    <w:rsid w:val="3BF86D2F"/>
    <w:rsid w:val="3C0637C5"/>
    <w:rsid w:val="3C107D64"/>
    <w:rsid w:val="3C2241FC"/>
    <w:rsid w:val="3C27220C"/>
    <w:rsid w:val="3C3245BA"/>
    <w:rsid w:val="3C49357F"/>
    <w:rsid w:val="3C674833"/>
    <w:rsid w:val="3C6C33D7"/>
    <w:rsid w:val="3C8446EA"/>
    <w:rsid w:val="3C911C64"/>
    <w:rsid w:val="3C92654C"/>
    <w:rsid w:val="3CA145BD"/>
    <w:rsid w:val="3CAA4150"/>
    <w:rsid w:val="3CB35688"/>
    <w:rsid w:val="3CC9460F"/>
    <w:rsid w:val="3CE24B11"/>
    <w:rsid w:val="3D026CBF"/>
    <w:rsid w:val="3D1F6317"/>
    <w:rsid w:val="3D306D3A"/>
    <w:rsid w:val="3D314CA3"/>
    <w:rsid w:val="3D3F477C"/>
    <w:rsid w:val="3D4F66C7"/>
    <w:rsid w:val="3D54230E"/>
    <w:rsid w:val="3D5B18EE"/>
    <w:rsid w:val="3D687B67"/>
    <w:rsid w:val="3D6C1718"/>
    <w:rsid w:val="3D806562"/>
    <w:rsid w:val="3D9077EA"/>
    <w:rsid w:val="3DA863F2"/>
    <w:rsid w:val="3DB241D0"/>
    <w:rsid w:val="3DB64D77"/>
    <w:rsid w:val="3DB85DFD"/>
    <w:rsid w:val="3DD150D5"/>
    <w:rsid w:val="3DF37263"/>
    <w:rsid w:val="3DFB6419"/>
    <w:rsid w:val="3E057E5C"/>
    <w:rsid w:val="3E3A71BD"/>
    <w:rsid w:val="3E447262"/>
    <w:rsid w:val="3E5219F5"/>
    <w:rsid w:val="3E5720B6"/>
    <w:rsid w:val="3E720166"/>
    <w:rsid w:val="3E753186"/>
    <w:rsid w:val="3E854E75"/>
    <w:rsid w:val="3E8751FA"/>
    <w:rsid w:val="3E94330A"/>
    <w:rsid w:val="3E9638EC"/>
    <w:rsid w:val="3E9938E6"/>
    <w:rsid w:val="3EA01CAF"/>
    <w:rsid w:val="3EA91D69"/>
    <w:rsid w:val="3EA94446"/>
    <w:rsid w:val="3EAB3319"/>
    <w:rsid w:val="3EB35DC8"/>
    <w:rsid w:val="3EB72B54"/>
    <w:rsid w:val="3ED656D0"/>
    <w:rsid w:val="3ED9195C"/>
    <w:rsid w:val="3EDE6333"/>
    <w:rsid w:val="3EE15E23"/>
    <w:rsid w:val="3EEA3255"/>
    <w:rsid w:val="3F1955BD"/>
    <w:rsid w:val="3F2A6CE3"/>
    <w:rsid w:val="3F424B14"/>
    <w:rsid w:val="3F5A41F8"/>
    <w:rsid w:val="3F5C3D7B"/>
    <w:rsid w:val="3F63035B"/>
    <w:rsid w:val="3FA36A12"/>
    <w:rsid w:val="3FAA2393"/>
    <w:rsid w:val="3FB35A12"/>
    <w:rsid w:val="3FB43227"/>
    <w:rsid w:val="3FC4377B"/>
    <w:rsid w:val="3FC45529"/>
    <w:rsid w:val="3FDD0041"/>
    <w:rsid w:val="3FDF6807"/>
    <w:rsid w:val="3FEA0D08"/>
    <w:rsid w:val="3FEB51AC"/>
    <w:rsid w:val="3FF15AC2"/>
    <w:rsid w:val="40183AC7"/>
    <w:rsid w:val="4021512E"/>
    <w:rsid w:val="4024246B"/>
    <w:rsid w:val="40491ED2"/>
    <w:rsid w:val="40516593"/>
    <w:rsid w:val="405A368E"/>
    <w:rsid w:val="4067031D"/>
    <w:rsid w:val="406755E0"/>
    <w:rsid w:val="40805A8C"/>
    <w:rsid w:val="40905D53"/>
    <w:rsid w:val="409273D5"/>
    <w:rsid w:val="40A14F5C"/>
    <w:rsid w:val="40A211DB"/>
    <w:rsid w:val="40AA5644"/>
    <w:rsid w:val="40E973FE"/>
    <w:rsid w:val="40EB47D3"/>
    <w:rsid w:val="40F66C22"/>
    <w:rsid w:val="41004930"/>
    <w:rsid w:val="41080BFF"/>
    <w:rsid w:val="41113A7A"/>
    <w:rsid w:val="41195D48"/>
    <w:rsid w:val="41270465"/>
    <w:rsid w:val="412761D9"/>
    <w:rsid w:val="412E7EAD"/>
    <w:rsid w:val="414A5F02"/>
    <w:rsid w:val="414F63F1"/>
    <w:rsid w:val="41524DB6"/>
    <w:rsid w:val="41567203"/>
    <w:rsid w:val="416431F9"/>
    <w:rsid w:val="41686388"/>
    <w:rsid w:val="416B7C26"/>
    <w:rsid w:val="416E5895"/>
    <w:rsid w:val="41710371"/>
    <w:rsid w:val="41764A2D"/>
    <w:rsid w:val="417E5BAB"/>
    <w:rsid w:val="4191768D"/>
    <w:rsid w:val="41980F60"/>
    <w:rsid w:val="41A703BF"/>
    <w:rsid w:val="41AA2E44"/>
    <w:rsid w:val="41AC2719"/>
    <w:rsid w:val="41E849E2"/>
    <w:rsid w:val="41E97D80"/>
    <w:rsid w:val="42114C71"/>
    <w:rsid w:val="423544BC"/>
    <w:rsid w:val="42366486"/>
    <w:rsid w:val="423B0C5F"/>
    <w:rsid w:val="42405FB6"/>
    <w:rsid w:val="428B0805"/>
    <w:rsid w:val="428B4891"/>
    <w:rsid w:val="42997141"/>
    <w:rsid w:val="429D02B3"/>
    <w:rsid w:val="42A67168"/>
    <w:rsid w:val="42AB6E74"/>
    <w:rsid w:val="42B71375"/>
    <w:rsid w:val="42B850ED"/>
    <w:rsid w:val="42C62F4D"/>
    <w:rsid w:val="42CE4911"/>
    <w:rsid w:val="42DC4041"/>
    <w:rsid w:val="42DC7476"/>
    <w:rsid w:val="42E36169"/>
    <w:rsid w:val="42E83C24"/>
    <w:rsid w:val="42EB3295"/>
    <w:rsid w:val="43082F04"/>
    <w:rsid w:val="430B2E5A"/>
    <w:rsid w:val="43103773"/>
    <w:rsid w:val="432664FB"/>
    <w:rsid w:val="433E55F2"/>
    <w:rsid w:val="433F3017"/>
    <w:rsid w:val="434846C3"/>
    <w:rsid w:val="435D1AE3"/>
    <w:rsid w:val="435F6151"/>
    <w:rsid w:val="436576BE"/>
    <w:rsid w:val="43751058"/>
    <w:rsid w:val="437A5E8E"/>
    <w:rsid w:val="43830753"/>
    <w:rsid w:val="43846876"/>
    <w:rsid w:val="43900296"/>
    <w:rsid w:val="43951FB1"/>
    <w:rsid w:val="439E42E3"/>
    <w:rsid w:val="43AD13A5"/>
    <w:rsid w:val="43AD7A84"/>
    <w:rsid w:val="43B41D58"/>
    <w:rsid w:val="43C96EDE"/>
    <w:rsid w:val="43C97D9A"/>
    <w:rsid w:val="43E20BD8"/>
    <w:rsid w:val="43E449F0"/>
    <w:rsid w:val="43E51A08"/>
    <w:rsid w:val="43EF4B3E"/>
    <w:rsid w:val="440B5F9A"/>
    <w:rsid w:val="44124CF1"/>
    <w:rsid w:val="44226CC2"/>
    <w:rsid w:val="44276739"/>
    <w:rsid w:val="446F7A2D"/>
    <w:rsid w:val="447339C1"/>
    <w:rsid w:val="44816445"/>
    <w:rsid w:val="4482141C"/>
    <w:rsid w:val="4489017F"/>
    <w:rsid w:val="448A570D"/>
    <w:rsid w:val="44906321"/>
    <w:rsid w:val="44931B2B"/>
    <w:rsid w:val="44980645"/>
    <w:rsid w:val="449E35B0"/>
    <w:rsid w:val="44B02552"/>
    <w:rsid w:val="44B57B36"/>
    <w:rsid w:val="44BC3464"/>
    <w:rsid w:val="44C43A6B"/>
    <w:rsid w:val="44C53BEF"/>
    <w:rsid w:val="44D31E62"/>
    <w:rsid w:val="44D35237"/>
    <w:rsid w:val="451C3137"/>
    <w:rsid w:val="453216A7"/>
    <w:rsid w:val="45343151"/>
    <w:rsid w:val="453A628D"/>
    <w:rsid w:val="45497FEE"/>
    <w:rsid w:val="455B128C"/>
    <w:rsid w:val="45605CF4"/>
    <w:rsid w:val="45644C1B"/>
    <w:rsid w:val="457376FD"/>
    <w:rsid w:val="45790B64"/>
    <w:rsid w:val="45920224"/>
    <w:rsid w:val="459465A0"/>
    <w:rsid w:val="45997458"/>
    <w:rsid w:val="45A34303"/>
    <w:rsid w:val="45AC718B"/>
    <w:rsid w:val="45C33A79"/>
    <w:rsid w:val="45DF716D"/>
    <w:rsid w:val="460C4021"/>
    <w:rsid w:val="460F14C8"/>
    <w:rsid w:val="46116FEE"/>
    <w:rsid w:val="462907DC"/>
    <w:rsid w:val="462D7B12"/>
    <w:rsid w:val="46370F66"/>
    <w:rsid w:val="463F18F8"/>
    <w:rsid w:val="4646346C"/>
    <w:rsid w:val="465768B0"/>
    <w:rsid w:val="46640C9A"/>
    <w:rsid w:val="466A0FA6"/>
    <w:rsid w:val="466C0EB7"/>
    <w:rsid w:val="46771846"/>
    <w:rsid w:val="467B1444"/>
    <w:rsid w:val="46916381"/>
    <w:rsid w:val="46A51FED"/>
    <w:rsid w:val="46B1373D"/>
    <w:rsid w:val="46B5206F"/>
    <w:rsid w:val="46C77F74"/>
    <w:rsid w:val="46C9300C"/>
    <w:rsid w:val="46CD626F"/>
    <w:rsid w:val="46D13BB3"/>
    <w:rsid w:val="46D1677D"/>
    <w:rsid w:val="46D717C6"/>
    <w:rsid w:val="46DF533E"/>
    <w:rsid w:val="46EE4B80"/>
    <w:rsid w:val="470152B5"/>
    <w:rsid w:val="47132BAC"/>
    <w:rsid w:val="47176886"/>
    <w:rsid w:val="471E63A8"/>
    <w:rsid w:val="47486A40"/>
    <w:rsid w:val="474A2214"/>
    <w:rsid w:val="47515805"/>
    <w:rsid w:val="4763218A"/>
    <w:rsid w:val="4780059A"/>
    <w:rsid w:val="478A7058"/>
    <w:rsid w:val="478F0B12"/>
    <w:rsid w:val="47A700D9"/>
    <w:rsid w:val="47B0215D"/>
    <w:rsid w:val="47B21820"/>
    <w:rsid w:val="47B44856"/>
    <w:rsid w:val="47ED3A8B"/>
    <w:rsid w:val="47FC20EF"/>
    <w:rsid w:val="4800344B"/>
    <w:rsid w:val="48026F58"/>
    <w:rsid w:val="480F1EAB"/>
    <w:rsid w:val="4812529F"/>
    <w:rsid w:val="482C010F"/>
    <w:rsid w:val="482C2693"/>
    <w:rsid w:val="48390A7E"/>
    <w:rsid w:val="483D1F24"/>
    <w:rsid w:val="483F1F5F"/>
    <w:rsid w:val="484769D2"/>
    <w:rsid w:val="48503D12"/>
    <w:rsid w:val="48517B76"/>
    <w:rsid w:val="485D1877"/>
    <w:rsid w:val="4862312B"/>
    <w:rsid w:val="487877F8"/>
    <w:rsid w:val="48927E1C"/>
    <w:rsid w:val="48965ED0"/>
    <w:rsid w:val="48B80E79"/>
    <w:rsid w:val="48BC225D"/>
    <w:rsid w:val="48BE2075"/>
    <w:rsid w:val="48C25B2E"/>
    <w:rsid w:val="48C77E38"/>
    <w:rsid w:val="48D120C9"/>
    <w:rsid w:val="48D8715D"/>
    <w:rsid w:val="48E56510"/>
    <w:rsid w:val="48E924A4"/>
    <w:rsid w:val="48EE7ABB"/>
    <w:rsid w:val="48EF37F3"/>
    <w:rsid w:val="48FF682B"/>
    <w:rsid w:val="490B5F77"/>
    <w:rsid w:val="49180694"/>
    <w:rsid w:val="491C0184"/>
    <w:rsid w:val="491C4628"/>
    <w:rsid w:val="49211C3E"/>
    <w:rsid w:val="493070D8"/>
    <w:rsid w:val="49317949"/>
    <w:rsid w:val="49323271"/>
    <w:rsid w:val="493910BB"/>
    <w:rsid w:val="493E4FBB"/>
    <w:rsid w:val="49431BB4"/>
    <w:rsid w:val="49431D76"/>
    <w:rsid w:val="49514132"/>
    <w:rsid w:val="495518E8"/>
    <w:rsid w:val="49747998"/>
    <w:rsid w:val="49836455"/>
    <w:rsid w:val="49C32045"/>
    <w:rsid w:val="49D86E11"/>
    <w:rsid w:val="49E8275C"/>
    <w:rsid w:val="49EA5CA4"/>
    <w:rsid w:val="49F454F1"/>
    <w:rsid w:val="4A123335"/>
    <w:rsid w:val="4A2E406F"/>
    <w:rsid w:val="4A3132A3"/>
    <w:rsid w:val="4A3414FD"/>
    <w:rsid w:val="4A3A79BE"/>
    <w:rsid w:val="4A3E237C"/>
    <w:rsid w:val="4A3E322F"/>
    <w:rsid w:val="4A407927"/>
    <w:rsid w:val="4A4106B6"/>
    <w:rsid w:val="4A5676C5"/>
    <w:rsid w:val="4A5E4374"/>
    <w:rsid w:val="4A6A453B"/>
    <w:rsid w:val="4A763001"/>
    <w:rsid w:val="4A7A53CB"/>
    <w:rsid w:val="4A830D27"/>
    <w:rsid w:val="4A857FAB"/>
    <w:rsid w:val="4A8B30EC"/>
    <w:rsid w:val="4A9B1A05"/>
    <w:rsid w:val="4AA02954"/>
    <w:rsid w:val="4AD149B8"/>
    <w:rsid w:val="4AD84747"/>
    <w:rsid w:val="4ADF2005"/>
    <w:rsid w:val="4AF56865"/>
    <w:rsid w:val="4AFA2747"/>
    <w:rsid w:val="4AFB1C7E"/>
    <w:rsid w:val="4B03268E"/>
    <w:rsid w:val="4B1D01E3"/>
    <w:rsid w:val="4B1E08CD"/>
    <w:rsid w:val="4B2424A2"/>
    <w:rsid w:val="4B2A1244"/>
    <w:rsid w:val="4B4340EE"/>
    <w:rsid w:val="4B46598C"/>
    <w:rsid w:val="4B502367"/>
    <w:rsid w:val="4B763D8E"/>
    <w:rsid w:val="4B89783F"/>
    <w:rsid w:val="4B8A635F"/>
    <w:rsid w:val="4B8C0972"/>
    <w:rsid w:val="4B965D9C"/>
    <w:rsid w:val="4B9C1A50"/>
    <w:rsid w:val="4BB2690D"/>
    <w:rsid w:val="4BBC5C4E"/>
    <w:rsid w:val="4BD20FCE"/>
    <w:rsid w:val="4BD70D19"/>
    <w:rsid w:val="4BE8259F"/>
    <w:rsid w:val="4BF2253C"/>
    <w:rsid w:val="4C0A4C0B"/>
    <w:rsid w:val="4C172E84"/>
    <w:rsid w:val="4C2D6501"/>
    <w:rsid w:val="4C7C65EA"/>
    <w:rsid w:val="4C7C718B"/>
    <w:rsid w:val="4C7F1C66"/>
    <w:rsid w:val="4C83410A"/>
    <w:rsid w:val="4C9149E5"/>
    <w:rsid w:val="4CAC1FE8"/>
    <w:rsid w:val="4CB07400"/>
    <w:rsid w:val="4CDB65A8"/>
    <w:rsid w:val="4D0600C4"/>
    <w:rsid w:val="4D0F0F3A"/>
    <w:rsid w:val="4D13189E"/>
    <w:rsid w:val="4D143C26"/>
    <w:rsid w:val="4D2A435B"/>
    <w:rsid w:val="4D365FCC"/>
    <w:rsid w:val="4D422183"/>
    <w:rsid w:val="4D4D5FE1"/>
    <w:rsid w:val="4D5123C6"/>
    <w:rsid w:val="4D573E80"/>
    <w:rsid w:val="4D5C6D9D"/>
    <w:rsid w:val="4D730539"/>
    <w:rsid w:val="4D765C30"/>
    <w:rsid w:val="4D7668A0"/>
    <w:rsid w:val="4D77007F"/>
    <w:rsid w:val="4DA62712"/>
    <w:rsid w:val="4DA93FB0"/>
    <w:rsid w:val="4DAB5F7A"/>
    <w:rsid w:val="4DB23FE0"/>
    <w:rsid w:val="4DB27309"/>
    <w:rsid w:val="4DB52955"/>
    <w:rsid w:val="4DBA7F58"/>
    <w:rsid w:val="4DD059E1"/>
    <w:rsid w:val="4E1125A4"/>
    <w:rsid w:val="4E415268"/>
    <w:rsid w:val="4E4C0846"/>
    <w:rsid w:val="4E4F6905"/>
    <w:rsid w:val="4E62033D"/>
    <w:rsid w:val="4E6840F0"/>
    <w:rsid w:val="4E7774E8"/>
    <w:rsid w:val="4E854A1D"/>
    <w:rsid w:val="4E86753E"/>
    <w:rsid w:val="4EA576C6"/>
    <w:rsid w:val="4EB54C30"/>
    <w:rsid w:val="4EC86117"/>
    <w:rsid w:val="4ED46303"/>
    <w:rsid w:val="4EF17159"/>
    <w:rsid w:val="4EF474AD"/>
    <w:rsid w:val="4EFD45B3"/>
    <w:rsid w:val="4F0F7161"/>
    <w:rsid w:val="4F177B34"/>
    <w:rsid w:val="4F196F13"/>
    <w:rsid w:val="4F1D07B2"/>
    <w:rsid w:val="4F1F09CE"/>
    <w:rsid w:val="4F271630"/>
    <w:rsid w:val="4F29098A"/>
    <w:rsid w:val="4F307EC6"/>
    <w:rsid w:val="4F3D7E8D"/>
    <w:rsid w:val="4F4632D7"/>
    <w:rsid w:val="4F7839FD"/>
    <w:rsid w:val="4F786330"/>
    <w:rsid w:val="4F812C1F"/>
    <w:rsid w:val="4F9F31C6"/>
    <w:rsid w:val="4FA00F2C"/>
    <w:rsid w:val="4FA03D68"/>
    <w:rsid w:val="4FA83754"/>
    <w:rsid w:val="4FB00E8B"/>
    <w:rsid w:val="4FB54E8E"/>
    <w:rsid w:val="4FBA24A4"/>
    <w:rsid w:val="4FC472C9"/>
    <w:rsid w:val="4FD52676"/>
    <w:rsid w:val="4FD54090"/>
    <w:rsid w:val="500E27F0"/>
    <w:rsid w:val="50120532"/>
    <w:rsid w:val="501A2FF5"/>
    <w:rsid w:val="503802C1"/>
    <w:rsid w:val="504839D0"/>
    <w:rsid w:val="504A7D28"/>
    <w:rsid w:val="504F0E3F"/>
    <w:rsid w:val="506E6129"/>
    <w:rsid w:val="507D6F73"/>
    <w:rsid w:val="507F594E"/>
    <w:rsid w:val="507F724A"/>
    <w:rsid w:val="508278E3"/>
    <w:rsid w:val="50835EE0"/>
    <w:rsid w:val="508605D9"/>
    <w:rsid w:val="508D1967"/>
    <w:rsid w:val="50981E43"/>
    <w:rsid w:val="509C598C"/>
    <w:rsid w:val="509E5921"/>
    <w:rsid w:val="50A218B6"/>
    <w:rsid w:val="50A56CB1"/>
    <w:rsid w:val="50A91291"/>
    <w:rsid w:val="50AC0C0E"/>
    <w:rsid w:val="50D64B8B"/>
    <w:rsid w:val="50D650BC"/>
    <w:rsid w:val="50E377D9"/>
    <w:rsid w:val="50F0469A"/>
    <w:rsid w:val="51024103"/>
    <w:rsid w:val="51204F24"/>
    <w:rsid w:val="512D3015"/>
    <w:rsid w:val="51347EA6"/>
    <w:rsid w:val="51696999"/>
    <w:rsid w:val="517315E5"/>
    <w:rsid w:val="517969BB"/>
    <w:rsid w:val="517F2773"/>
    <w:rsid w:val="517F3E15"/>
    <w:rsid w:val="5183368B"/>
    <w:rsid w:val="518341D7"/>
    <w:rsid w:val="51956AEE"/>
    <w:rsid w:val="519C033D"/>
    <w:rsid w:val="51AA02F7"/>
    <w:rsid w:val="51AB2205"/>
    <w:rsid w:val="51CC64BF"/>
    <w:rsid w:val="51CD6109"/>
    <w:rsid w:val="51F31C9E"/>
    <w:rsid w:val="52191529"/>
    <w:rsid w:val="522C1B00"/>
    <w:rsid w:val="522F6CD8"/>
    <w:rsid w:val="523C3645"/>
    <w:rsid w:val="525A3ACB"/>
    <w:rsid w:val="525F7333"/>
    <w:rsid w:val="52605377"/>
    <w:rsid w:val="526861E8"/>
    <w:rsid w:val="52770232"/>
    <w:rsid w:val="528C332C"/>
    <w:rsid w:val="528E611F"/>
    <w:rsid w:val="52A15B9E"/>
    <w:rsid w:val="52A3578D"/>
    <w:rsid w:val="52AF2069"/>
    <w:rsid w:val="52B92610"/>
    <w:rsid w:val="52BD3F8B"/>
    <w:rsid w:val="52D508EC"/>
    <w:rsid w:val="52D715BF"/>
    <w:rsid w:val="52E37F64"/>
    <w:rsid w:val="52EB0BC7"/>
    <w:rsid w:val="53106064"/>
    <w:rsid w:val="531E3DEC"/>
    <w:rsid w:val="532E4693"/>
    <w:rsid w:val="53411F7B"/>
    <w:rsid w:val="5344780E"/>
    <w:rsid w:val="53625ADC"/>
    <w:rsid w:val="536502FC"/>
    <w:rsid w:val="53717520"/>
    <w:rsid w:val="53733661"/>
    <w:rsid w:val="5375067C"/>
    <w:rsid w:val="537C32E1"/>
    <w:rsid w:val="53836758"/>
    <w:rsid w:val="53A05ACE"/>
    <w:rsid w:val="53A818C3"/>
    <w:rsid w:val="53B36754"/>
    <w:rsid w:val="53D3725D"/>
    <w:rsid w:val="53D8739D"/>
    <w:rsid w:val="53E54C21"/>
    <w:rsid w:val="53EE4E13"/>
    <w:rsid w:val="53FF40D8"/>
    <w:rsid w:val="54040192"/>
    <w:rsid w:val="541C1980"/>
    <w:rsid w:val="542675BD"/>
    <w:rsid w:val="542F6F11"/>
    <w:rsid w:val="544113E6"/>
    <w:rsid w:val="54453302"/>
    <w:rsid w:val="544C4E7E"/>
    <w:rsid w:val="545165D8"/>
    <w:rsid w:val="546D3F89"/>
    <w:rsid w:val="54901A26"/>
    <w:rsid w:val="54A00484"/>
    <w:rsid w:val="54B5148C"/>
    <w:rsid w:val="54D075F9"/>
    <w:rsid w:val="54FD0EB0"/>
    <w:rsid w:val="550F6DEF"/>
    <w:rsid w:val="551E7032"/>
    <w:rsid w:val="55487A11"/>
    <w:rsid w:val="556830D7"/>
    <w:rsid w:val="557B01B0"/>
    <w:rsid w:val="55A95F2A"/>
    <w:rsid w:val="55AA70E8"/>
    <w:rsid w:val="55B11C9E"/>
    <w:rsid w:val="55C53951"/>
    <w:rsid w:val="55CB1CA6"/>
    <w:rsid w:val="55CE2806"/>
    <w:rsid w:val="55D86BF6"/>
    <w:rsid w:val="55E171BD"/>
    <w:rsid w:val="55E86D80"/>
    <w:rsid w:val="56036F3C"/>
    <w:rsid w:val="56066443"/>
    <w:rsid w:val="56096146"/>
    <w:rsid w:val="5621327D"/>
    <w:rsid w:val="56333FDC"/>
    <w:rsid w:val="56350464"/>
    <w:rsid w:val="564927D4"/>
    <w:rsid w:val="56513437"/>
    <w:rsid w:val="565B4B95"/>
    <w:rsid w:val="566476A3"/>
    <w:rsid w:val="56882A6B"/>
    <w:rsid w:val="569C6DA8"/>
    <w:rsid w:val="56A93273"/>
    <w:rsid w:val="56A940B5"/>
    <w:rsid w:val="56BC6B02"/>
    <w:rsid w:val="56CA54FF"/>
    <w:rsid w:val="56D26710"/>
    <w:rsid w:val="56D617F8"/>
    <w:rsid w:val="56D6632A"/>
    <w:rsid w:val="56E32F96"/>
    <w:rsid w:val="56E74482"/>
    <w:rsid w:val="56FA24F2"/>
    <w:rsid w:val="56FD2049"/>
    <w:rsid w:val="57032F5C"/>
    <w:rsid w:val="5704180E"/>
    <w:rsid w:val="570A3D11"/>
    <w:rsid w:val="57120898"/>
    <w:rsid w:val="571637E1"/>
    <w:rsid w:val="572B1EDA"/>
    <w:rsid w:val="57320CF3"/>
    <w:rsid w:val="57333406"/>
    <w:rsid w:val="57435F46"/>
    <w:rsid w:val="57715189"/>
    <w:rsid w:val="57863F23"/>
    <w:rsid w:val="57945CD1"/>
    <w:rsid w:val="57A821AF"/>
    <w:rsid w:val="57D8796C"/>
    <w:rsid w:val="57E36310"/>
    <w:rsid w:val="57E67B49"/>
    <w:rsid w:val="57F36025"/>
    <w:rsid w:val="57F65F0E"/>
    <w:rsid w:val="57FE314A"/>
    <w:rsid w:val="580469B3"/>
    <w:rsid w:val="5806097D"/>
    <w:rsid w:val="580A2BD7"/>
    <w:rsid w:val="58101A31"/>
    <w:rsid w:val="5814296E"/>
    <w:rsid w:val="5814484C"/>
    <w:rsid w:val="581D7C2B"/>
    <w:rsid w:val="582D622B"/>
    <w:rsid w:val="583A577C"/>
    <w:rsid w:val="58514AB9"/>
    <w:rsid w:val="58533496"/>
    <w:rsid w:val="585807F9"/>
    <w:rsid w:val="58580AAD"/>
    <w:rsid w:val="587E64C0"/>
    <w:rsid w:val="588627B1"/>
    <w:rsid w:val="58912AB1"/>
    <w:rsid w:val="589715D5"/>
    <w:rsid w:val="58A81A34"/>
    <w:rsid w:val="58B45BE1"/>
    <w:rsid w:val="58BD5371"/>
    <w:rsid w:val="58C27F5D"/>
    <w:rsid w:val="58CE31CC"/>
    <w:rsid w:val="58D02D39"/>
    <w:rsid w:val="58D97E3F"/>
    <w:rsid w:val="58E6255C"/>
    <w:rsid w:val="590B3D71"/>
    <w:rsid w:val="591C1ADA"/>
    <w:rsid w:val="59255664"/>
    <w:rsid w:val="59317656"/>
    <w:rsid w:val="59335677"/>
    <w:rsid w:val="593B64C5"/>
    <w:rsid w:val="595642BE"/>
    <w:rsid w:val="596A4F3B"/>
    <w:rsid w:val="59707EF6"/>
    <w:rsid w:val="597F4C86"/>
    <w:rsid w:val="598558D1"/>
    <w:rsid w:val="598F514A"/>
    <w:rsid w:val="59951017"/>
    <w:rsid w:val="599827ED"/>
    <w:rsid w:val="59A65848"/>
    <w:rsid w:val="59B373C4"/>
    <w:rsid w:val="59C02DAD"/>
    <w:rsid w:val="59C363FA"/>
    <w:rsid w:val="59C54C72"/>
    <w:rsid w:val="59DD14D2"/>
    <w:rsid w:val="59EB5B99"/>
    <w:rsid w:val="59EE791A"/>
    <w:rsid w:val="59EF71EF"/>
    <w:rsid w:val="59F32CEE"/>
    <w:rsid w:val="59FE7432"/>
    <w:rsid w:val="5A0558CC"/>
    <w:rsid w:val="5A0C1B4F"/>
    <w:rsid w:val="5A1A070F"/>
    <w:rsid w:val="5A2551DF"/>
    <w:rsid w:val="5A347EFC"/>
    <w:rsid w:val="5A3E08A5"/>
    <w:rsid w:val="5A44578C"/>
    <w:rsid w:val="5A561575"/>
    <w:rsid w:val="5A67147B"/>
    <w:rsid w:val="5A7458E0"/>
    <w:rsid w:val="5A772C88"/>
    <w:rsid w:val="5A820C9E"/>
    <w:rsid w:val="5A9A027F"/>
    <w:rsid w:val="5AA81F25"/>
    <w:rsid w:val="5AB741B0"/>
    <w:rsid w:val="5AC10B8B"/>
    <w:rsid w:val="5AC239BC"/>
    <w:rsid w:val="5ACA5DFF"/>
    <w:rsid w:val="5AD37177"/>
    <w:rsid w:val="5AD52888"/>
    <w:rsid w:val="5ADA3390"/>
    <w:rsid w:val="5ADB0940"/>
    <w:rsid w:val="5AF80325"/>
    <w:rsid w:val="5B136F0D"/>
    <w:rsid w:val="5B450265"/>
    <w:rsid w:val="5B4F6D85"/>
    <w:rsid w:val="5B8B4C4D"/>
    <w:rsid w:val="5B915EB4"/>
    <w:rsid w:val="5B93176E"/>
    <w:rsid w:val="5B955626"/>
    <w:rsid w:val="5B971ADB"/>
    <w:rsid w:val="5BAC49F9"/>
    <w:rsid w:val="5BAE6B73"/>
    <w:rsid w:val="5BB14ADA"/>
    <w:rsid w:val="5BC2413F"/>
    <w:rsid w:val="5BDA1243"/>
    <w:rsid w:val="5BED1024"/>
    <w:rsid w:val="5BFD2097"/>
    <w:rsid w:val="5BFE72E8"/>
    <w:rsid w:val="5C05719D"/>
    <w:rsid w:val="5C0B2F69"/>
    <w:rsid w:val="5C1042DC"/>
    <w:rsid w:val="5C1434F0"/>
    <w:rsid w:val="5C163158"/>
    <w:rsid w:val="5C2946A9"/>
    <w:rsid w:val="5C333CFB"/>
    <w:rsid w:val="5C3402AC"/>
    <w:rsid w:val="5C5061E9"/>
    <w:rsid w:val="5C515F3F"/>
    <w:rsid w:val="5C6A0DAE"/>
    <w:rsid w:val="5C6A7000"/>
    <w:rsid w:val="5C976ED0"/>
    <w:rsid w:val="5C99449C"/>
    <w:rsid w:val="5C9C18B0"/>
    <w:rsid w:val="5CAF2C65"/>
    <w:rsid w:val="5CB84210"/>
    <w:rsid w:val="5CDA5E1D"/>
    <w:rsid w:val="5CDC7EFE"/>
    <w:rsid w:val="5CE04865"/>
    <w:rsid w:val="5CE0668C"/>
    <w:rsid w:val="5CEB6393"/>
    <w:rsid w:val="5CF04088"/>
    <w:rsid w:val="5D05444B"/>
    <w:rsid w:val="5D1D7D4C"/>
    <w:rsid w:val="5D301FF8"/>
    <w:rsid w:val="5D420398"/>
    <w:rsid w:val="5D4705D6"/>
    <w:rsid w:val="5D4B5084"/>
    <w:rsid w:val="5D4F60D7"/>
    <w:rsid w:val="5D623409"/>
    <w:rsid w:val="5D8A097F"/>
    <w:rsid w:val="5D9776C3"/>
    <w:rsid w:val="5DA6541C"/>
    <w:rsid w:val="5DAD35AC"/>
    <w:rsid w:val="5DB55BCD"/>
    <w:rsid w:val="5DBC5D33"/>
    <w:rsid w:val="5DBF68C8"/>
    <w:rsid w:val="5DC86F87"/>
    <w:rsid w:val="5DE62219"/>
    <w:rsid w:val="5DF03535"/>
    <w:rsid w:val="5E0771FD"/>
    <w:rsid w:val="5E091BDC"/>
    <w:rsid w:val="5E3750B8"/>
    <w:rsid w:val="5E4C10B3"/>
    <w:rsid w:val="5E4D2A6B"/>
    <w:rsid w:val="5E4F1C84"/>
    <w:rsid w:val="5E577355"/>
    <w:rsid w:val="5E6F0D87"/>
    <w:rsid w:val="5E7B3747"/>
    <w:rsid w:val="5E8958C4"/>
    <w:rsid w:val="5E8C5954"/>
    <w:rsid w:val="5E8D25FF"/>
    <w:rsid w:val="5EA63182"/>
    <w:rsid w:val="5EC21376"/>
    <w:rsid w:val="5ECE7D1A"/>
    <w:rsid w:val="5ED4117E"/>
    <w:rsid w:val="5EE27322"/>
    <w:rsid w:val="5EE50BC0"/>
    <w:rsid w:val="5EFD415C"/>
    <w:rsid w:val="5F062A9D"/>
    <w:rsid w:val="5F156BCE"/>
    <w:rsid w:val="5F1E34B6"/>
    <w:rsid w:val="5F2B0007"/>
    <w:rsid w:val="5F3425C3"/>
    <w:rsid w:val="5F3C31EE"/>
    <w:rsid w:val="5F471011"/>
    <w:rsid w:val="5F4B3119"/>
    <w:rsid w:val="5F50072F"/>
    <w:rsid w:val="5F571980"/>
    <w:rsid w:val="5F5A15AE"/>
    <w:rsid w:val="5F601207"/>
    <w:rsid w:val="5F826571"/>
    <w:rsid w:val="5F9422B9"/>
    <w:rsid w:val="5F9E5B76"/>
    <w:rsid w:val="5FB00B27"/>
    <w:rsid w:val="5FC45334"/>
    <w:rsid w:val="5FCA04E2"/>
    <w:rsid w:val="5FD27FF0"/>
    <w:rsid w:val="5FE9BE6A"/>
    <w:rsid w:val="5FEA0B84"/>
    <w:rsid w:val="5FF01D2A"/>
    <w:rsid w:val="5FF97E78"/>
    <w:rsid w:val="5FFC290C"/>
    <w:rsid w:val="5FFCDCF8"/>
    <w:rsid w:val="6002391A"/>
    <w:rsid w:val="600A2BB5"/>
    <w:rsid w:val="601F4E02"/>
    <w:rsid w:val="603B13E0"/>
    <w:rsid w:val="60477D84"/>
    <w:rsid w:val="604E32CC"/>
    <w:rsid w:val="60572829"/>
    <w:rsid w:val="605D36BD"/>
    <w:rsid w:val="605D4FE9"/>
    <w:rsid w:val="6074044E"/>
    <w:rsid w:val="608E59B3"/>
    <w:rsid w:val="609B2D54"/>
    <w:rsid w:val="60A30B25"/>
    <w:rsid w:val="60C225E4"/>
    <w:rsid w:val="60C918A0"/>
    <w:rsid w:val="60D2562F"/>
    <w:rsid w:val="60D274D5"/>
    <w:rsid w:val="60DB666F"/>
    <w:rsid w:val="60DD64CB"/>
    <w:rsid w:val="60E07022"/>
    <w:rsid w:val="60F83C65"/>
    <w:rsid w:val="60FF423D"/>
    <w:rsid w:val="610E43FE"/>
    <w:rsid w:val="611475B8"/>
    <w:rsid w:val="61192BB1"/>
    <w:rsid w:val="611D2783"/>
    <w:rsid w:val="61354081"/>
    <w:rsid w:val="61477910"/>
    <w:rsid w:val="61483DB4"/>
    <w:rsid w:val="61497B2C"/>
    <w:rsid w:val="6162474A"/>
    <w:rsid w:val="617F5E0F"/>
    <w:rsid w:val="61811074"/>
    <w:rsid w:val="61995BD0"/>
    <w:rsid w:val="619A5D99"/>
    <w:rsid w:val="619F14FA"/>
    <w:rsid w:val="619F78E4"/>
    <w:rsid w:val="61AC7CDA"/>
    <w:rsid w:val="61BF1B9C"/>
    <w:rsid w:val="61EA2B18"/>
    <w:rsid w:val="61F730E4"/>
    <w:rsid w:val="62006665"/>
    <w:rsid w:val="620B6B90"/>
    <w:rsid w:val="622718D0"/>
    <w:rsid w:val="622D41C5"/>
    <w:rsid w:val="622D6B06"/>
    <w:rsid w:val="62682234"/>
    <w:rsid w:val="626D784A"/>
    <w:rsid w:val="626F23E1"/>
    <w:rsid w:val="627209BD"/>
    <w:rsid w:val="62757F11"/>
    <w:rsid w:val="628030DA"/>
    <w:rsid w:val="628037F5"/>
    <w:rsid w:val="628445D3"/>
    <w:rsid w:val="628C1A7E"/>
    <w:rsid w:val="62970423"/>
    <w:rsid w:val="629921EC"/>
    <w:rsid w:val="62A0456F"/>
    <w:rsid w:val="62AA23C9"/>
    <w:rsid w:val="62B56D1D"/>
    <w:rsid w:val="62DE42A4"/>
    <w:rsid w:val="62FA5B74"/>
    <w:rsid w:val="630E6CC2"/>
    <w:rsid w:val="630F621F"/>
    <w:rsid w:val="632A2B8E"/>
    <w:rsid w:val="63313B17"/>
    <w:rsid w:val="633B708C"/>
    <w:rsid w:val="63402999"/>
    <w:rsid w:val="63471E49"/>
    <w:rsid w:val="63515CEE"/>
    <w:rsid w:val="6354547D"/>
    <w:rsid w:val="63584057"/>
    <w:rsid w:val="63584D26"/>
    <w:rsid w:val="635F3E32"/>
    <w:rsid w:val="638175EA"/>
    <w:rsid w:val="63996835"/>
    <w:rsid w:val="63B05C41"/>
    <w:rsid w:val="63B76FCF"/>
    <w:rsid w:val="63D9375B"/>
    <w:rsid w:val="63E25CA5"/>
    <w:rsid w:val="63F003A8"/>
    <w:rsid w:val="63F0607A"/>
    <w:rsid w:val="6408514B"/>
    <w:rsid w:val="640A0ADA"/>
    <w:rsid w:val="640F6E0B"/>
    <w:rsid w:val="6412705B"/>
    <w:rsid w:val="642E24C5"/>
    <w:rsid w:val="64461A76"/>
    <w:rsid w:val="644C676F"/>
    <w:rsid w:val="64532993"/>
    <w:rsid w:val="645F2440"/>
    <w:rsid w:val="64847190"/>
    <w:rsid w:val="64B65532"/>
    <w:rsid w:val="64B67287"/>
    <w:rsid w:val="64BB2AEF"/>
    <w:rsid w:val="64E007BE"/>
    <w:rsid w:val="64EE4C72"/>
    <w:rsid w:val="64EF3B53"/>
    <w:rsid w:val="64F001D6"/>
    <w:rsid w:val="651346D9"/>
    <w:rsid w:val="65314B5F"/>
    <w:rsid w:val="653272B6"/>
    <w:rsid w:val="654A79CF"/>
    <w:rsid w:val="65534AD5"/>
    <w:rsid w:val="656D656F"/>
    <w:rsid w:val="657D591B"/>
    <w:rsid w:val="65804662"/>
    <w:rsid w:val="65841133"/>
    <w:rsid w:val="65961993"/>
    <w:rsid w:val="65A11123"/>
    <w:rsid w:val="65A563F5"/>
    <w:rsid w:val="65CC003B"/>
    <w:rsid w:val="65DE2DE8"/>
    <w:rsid w:val="65E6594A"/>
    <w:rsid w:val="65E909AE"/>
    <w:rsid w:val="66061B48"/>
    <w:rsid w:val="66065FEC"/>
    <w:rsid w:val="660758C0"/>
    <w:rsid w:val="661C5E23"/>
    <w:rsid w:val="662446C4"/>
    <w:rsid w:val="66270F00"/>
    <w:rsid w:val="662D45E9"/>
    <w:rsid w:val="663A7B2A"/>
    <w:rsid w:val="66660838"/>
    <w:rsid w:val="6669389A"/>
    <w:rsid w:val="666F7D5E"/>
    <w:rsid w:val="668533B4"/>
    <w:rsid w:val="66970A66"/>
    <w:rsid w:val="669E4476"/>
    <w:rsid w:val="66AF21DF"/>
    <w:rsid w:val="66B04371"/>
    <w:rsid w:val="66B71094"/>
    <w:rsid w:val="66C03465"/>
    <w:rsid w:val="66C8330B"/>
    <w:rsid w:val="66CE031A"/>
    <w:rsid w:val="66DE4873"/>
    <w:rsid w:val="66E72170"/>
    <w:rsid w:val="66F023A3"/>
    <w:rsid w:val="66FC2F4B"/>
    <w:rsid w:val="66FE3167"/>
    <w:rsid w:val="66FE4835"/>
    <w:rsid w:val="670966C9"/>
    <w:rsid w:val="671A0DB6"/>
    <w:rsid w:val="671E1113"/>
    <w:rsid w:val="67236729"/>
    <w:rsid w:val="67354BA7"/>
    <w:rsid w:val="673C3F27"/>
    <w:rsid w:val="673F2C43"/>
    <w:rsid w:val="67417630"/>
    <w:rsid w:val="6743743D"/>
    <w:rsid w:val="674C3ED2"/>
    <w:rsid w:val="6751773B"/>
    <w:rsid w:val="67564D51"/>
    <w:rsid w:val="676A25AA"/>
    <w:rsid w:val="677A0A3F"/>
    <w:rsid w:val="677B6565"/>
    <w:rsid w:val="677B67FE"/>
    <w:rsid w:val="677F68AE"/>
    <w:rsid w:val="67C3588C"/>
    <w:rsid w:val="67CB3244"/>
    <w:rsid w:val="67CC0C15"/>
    <w:rsid w:val="67D77C40"/>
    <w:rsid w:val="67DE4C52"/>
    <w:rsid w:val="67E1461B"/>
    <w:rsid w:val="67E91E27"/>
    <w:rsid w:val="67EC1211"/>
    <w:rsid w:val="67F25896"/>
    <w:rsid w:val="67FD0FD8"/>
    <w:rsid w:val="680A1B3E"/>
    <w:rsid w:val="681A545E"/>
    <w:rsid w:val="68485F30"/>
    <w:rsid w:val="68522367"/>
    <w:rsid w:val="68694744"/>
    <w:rsid w:val="68772FEB"/>
    <w:rsid w:val="68986D4E"/>
    <w:rsid w:val="68AB721C"/>
    <w:rsid w:val="68AF4719"/>
    <w:rsid w:val="68BC0BE4"/>
    <w:rsid w:val="68C301C4"/>
    <w:rsid w:val="68D51D77"/>
    <w:rsid w:val="68DB0F80"/>
    <w:rsid w:val="68EE3AB5"/>
    <w:rsid w:val="68F8744C"/>
    <w:rsid w:val="692122FC"/>
    <w:rsid w:val="692703BC"/>
    <w:rsid w:val="692E588E"/>
    <w:rsid w:val="69301997"/>
    <w:rsid w:val="694C1F68"/>
    <w:rsid w:val="6951409F"/>
    <w:rsid w:val="695640EA"/>
    <w:rsid w:val="6959313E"/>
    <w:rsid w:val="696372B1"/>
    <w:rsid w:val="69A753F0"/>
    <w:rsid w:val="69D541B5"/>
    <w:rsid w:val="69E2467A"/>
    <w:rsid w:val="69E728D1"/>
    <w:rsid w:val="69EE43A0"/>
    <w:rsid w:val="6A0E2857"/>
    <w:rsid w:val="6A2904FB"/>
    <w:rsid w:val="6A2B05A7"/>
    <w:rsid w:val="6A3D3285"/>
    <w:rsid w:val="6A4B04BF"/>
    <w:rsid w:val="6A4E1D0F"/>
    <w:rsid w:val="6A6E1002"/>
    <w:rsid w:val="6A7C253D"/>
    <w:rsid w:val="6A7F327D"/>
    <w:rsid w:val="6A841BD5"/>
    <w:rsid w:val="6A9242F2"/>
    <w:rsid w:val="6A932C47"/>
    <w:rsid w:val="6AE306AA"/>
    <w:rsid w:val="6AE6574D"/>
    <w:rsid w:val="6B016D82"/>
    <w:rsid w:val="6B027751"/>
    <w:rsid w:val="6B0502C3"/>
    <w:rsid w:val="6B0F01E1"/>
    <w:rsid w:val="6B1464DD"/>
    <w:rsid w:val="6B196B73"/>
    <w:rsid w:val="6B2667E8"/>
    <w:rsid w:val="6B27244E"/>
    <w:rsid w:val="6B454EC0"/>
    <w:rsid w:val="6B6178F9"/>
    <w:rsid w:val="6B6516E9"/>
    <w:rsid w:val="6B813C05"/>
    <w:rsid w:val="6B87372B"/>
    <w:rsid w:val="6BA51E03"/>
    <w:rsid w:val="6BC01029"/>
    <w:rsid w:val="6BC2184B"/>
    <w:rsid w:val="6BCD260F"/>
    <w:rsid w:val="6BD73B50"/>
    <w:rsid w:val="6BDD2A16"/>
    <w:rsid w:val="6BEC17E0"/>
    <w:rsid w:val="6BF32227"/>
    <w:rsid w:val="6BF6440D"/>
    <w:rsid w:val="6BFB445A"/>
    <w:rsid w:val="6C101972"/>
    <w:rsid w:val="6C1D0ECB"/>
    <w:rsid w:val="6C266DB6"/>
    <w:rsid w:val="6C29786F"/>
    <w:rsid w:val="6C331A56"/>
    <w:rsid w:val="6C355D33"/>
    <w:rsid w:val="6C364E62"/>
    <w:rsid w:val="6C47110C"/>
    <w:rsid w:val="6C606B72"/>
    <w:rsid w:val="6C643A6C"/>
    <w:rsid w:val="6C67555C"/>
    <w:rsid w:val="6C7C2B64"/>
    <w:rsid w:val="6CAD0F6F"/>
    <w:rsid w:val="6CB43A23"/>
    <w:rsid w:val="6CB467A2"/>
    <w:rsid w:val="6CBD4F2A"/>
    <w:rsid w:val="6CC938CF"/>
    <w:rsid w:val="6CE03ECA"/>
    <w:rsid w:val="6CEC7C82"/>
    <w:rsid w:val="6D037F77"/>
    <w:rsid w:val="6D0A54C7"/>
    <w:rsid w:val="6D0F2614"/>
    <w:rsid w:val="6D120E1C"/>
    <w:rsid w:val="6D157D50"/>
    <w:rsid w:val="6D192BD1"/>
    <w:rsid w:val="6D1D1BD2"/>
    <w:rsid w:val="6D1F7993"/>
    <w:rsid w:val="6D295100"/>
    <w:rsid w:val="6D30394E"/>
    <w:rsid w:val="6D317774"/>
    <w:rsid w:val="6D32596D"/>
    <w:rsid w:val="6D437B0B"/>
    <w:rsid w:val="6D5325F2"/>
    <w:rsid w:val="6D6460EE"/>
    <w:rsid w:val="6D6C1330"/>
    <w:rsid w:val="6D747F80"/>
    <w:rsid w:val="6D855A48"/>
    <w:rsid w:val="6DA51B77"/>
    <w:rsid w:val="6DAE2370"/>
    <w:rsid w:val="6DBD7C00"/>
    <w:rsid w:val="6DC20A4A"/>
    <w:rsid w:val="6DD8201C"/>
    <w:rsid w:val="6DE85FD7"/>
    <w:rsid w:val="6DE90E71"/>
    <w:rsid w:val="6DFA4688"/>
    <w:rsid w:val="6E051F2A"/>
    <w:rsid w:val="6E1312A6"/>
    <w:rsid w:val="6E172BE7"/>
    <w:rsid w:val="6E27523A"/>
    <w:rsid w:val="6E3336F6"/>
    <w:rsid w:val="6E433FAC"/>
    <w:rsid w:val="6E494CC8"/>
    <w:rsid w:val="6E4C3B35"/>
    <w:rsid w:val="6E4F68F9"/>
    <w:rsid w:val="6E520A0E"/>
    <w:rsid w:val="6E5313AA"/>
    <w:rsid w:val="6E5974AE"/>
    <w:rsid w:val="6E6E2015"/>
    <w:rsid w:val="6E73777B"/>
    <w:rsid w:val="6E7F693B"/>
    <w:rsid w:val="6E843F52"/>
    <w:rsid w:val="6E8B5624"/>
    <w:rsid w:val="6E900B48"/>
    <w:rsid w:val="6EA47288"/>
    <w:rsid w:val="6EAC5256"/>
    <w:rsid w:val="6EAF252E"/>
    <w:rsid w:val="6EB8093E"/>
    <w:rsid w:val="6EC802E2"/>
    <w:rsid w:val="6EED6E90"/>
    <w:rsid w:val="6EF677BD"/>
    <w:rsid w:val="6F1A065C"/>
    <w:rsid w:val="6F587766"/>
    <w:rsid w:val="6F5B73A8"/>
    <w:rsid w:val="6F6F075E"/>
    <w:rsid w:val="6F773AB6"/>
    <w:rsid w:val="6FB03890"/>
    <w:rsid w:val="6FC22F83"/>
    <w:rsid w:val="6FC51262"/>
    <w:rsid w:val="6FC62348"/>
    <w:rsid w:val="6FD53F4C"/>
    <w:rsid w:val="6FD9651F"/>
    <w:rsid w:val="6FDC6CE1"/>
    <w:rsid w:val="6FE78D81"/>
    <w:rsid w:val="6FF60E7F"/>
    <w:rsid w:val="70076BE8"/>
    <w:rsid w:val="701F16FA"/>
    <w:rsid w:val="70251764"/>
    <w:rsid w:val="702D1D25"/>
    <w:rsid w:val="703C1F7B"/>
    <w:rsid w:val="703E2017"/>
    <w:rsid w:val="7049530A"/>
    <w:rsid w:val="70511F65"/>
    <w:rsid w:val="7053007F"/>
    <w:rsid w:val="706C7393"/>
    <w:rsid w:val="70785D38"/>
    <w:rsid w:val="70B054D2"/>
    <w:rsid w:val="70BE6615"/>
    <w:rsid w:val="70C04408"/>
    <w:rsid w:val="70C07FA3"/>
    <w:rsid w:val="70C52391"/>
    <w:rsid w:val="70F213A1"/>
    <w:rsid w:val="710F044A"/>
    <w:rsid w:val="71107D1F"/>
    <w:rsid w:val="71180391"/>
    <w:rsid w:val="71381C0B"/>
    <w:rsid w:val="713A7F80"/>
    <w:rsid w:val="713F2169"/>
    <w:rsid w:val="71495EC3"/>
    <w:rsid w:val="71593474"/>
    <w:rsid w:val="716365E5"/>
    <w:rsid w:val="71646205"/>
    <w:rsid w:val="716B0704"/>
    <w:rsid w:val="71903A29"/>
    <w:rsid w:val="719C5A56"/>
    <w:rsid w:val="71BC3A02"/>
    <w:rsid w:val="71C34D91"/>
    <w:rsid w:val="71E21522"/>
    <w:rsid w:val="720C16A2"/>
    <w:rsid w:val="72140200"/>
    <w:rsid w:val="722F1C99"/>
    <w:rsid w:val="72387E8A"/>
    <w:rsid w:val="72616446"/>
    <w:rsid w:val="72647475"/>
    <w:rsid w:val="72671BC0"/>
    <w:rsid w:val="72676064"/>
    <w:rsid w:val="726A7954"/>
    <w:rsid w:val="726B65F4"/>
    <w:rsid w:val="72D918A4"/>
    <w:rsid w:val="72DB5872"/>
    <w:rsid w:val="72DC390D"/>
    <w:rsid w:val="72F773E8"/>
    <w:rsid w:val="72FD662E"/>
    <w:rsid w:val="73012015"/>
    <w:rsid w:val="730223AC"/>
    <w:rsid w:val="7309673E"/>
    <w:rsid w:val="731E2BC7"/>
    <w:rsid w:val="731F0631"/>
    <w:rsid w:val="73235E9F"/>
    <w:rsid w:val="733A72D5"/>
    <w:rsid w:val="73457378"/>
    <w:rsid w:val="734B3290"/>
    <w:rsid w:val="736600CA"/>
    <w:rsid w:val="73797DFD"/>
    <w:rsid w:val="737E18B7"/>
    <w:rsid w:val="73846231"/>
    <w:rsid w:val="73887BCF"/>
    <w:rsid w:val="73896773"/>
    <w:rsid w:val="73903399"/>
    <w:rsid w:val="73942E89"/>
    <w:rsid w:val="73A56E44"/>
    <w:rsid w:val="73D018C5"/>
    <w:rsid w:val="73E91522"/>
    <w:rsid w:val="73F908F5"/>
    <w:rsid w:val="740438D8"/>
    <w:rsid w:val="74082068"/>
    <w:rsid w:val="740B2A1F"/>
    <w:rsid w:val="740F3EB4"/>
    <w:rsid w:val="741D6AF6"/>
    <w:rsid w:val="74274C3B"/>
    <w:rsid w:val="742B0916"/>
    <w:rsid w:val="742D6E39"/>
    <w:rsid w:val="743E7DEE"/>
    <w:rsid w:val="745F3EA4"/>
    <w:rsid w:val="74602D6B"/>
    <w:rsid w:val="746565D3"/>
    <w:rsid w:val="746614A2"/>
    <w:rsid w:val="7476258E"/>
    <w:rsid w:val="747F7695"/>
    <w:rsid w:val="74835F56"/>
    <w:rsid w:val="74850A24"/>
    <w:rsid w:val="748A603A"/>
    <w:rsid w:val="748A7DE8"/>
    <w:rsid w:val="748E730E"/>
    <w:rsid w:val="74934EEE"/>
    <w:rsid w:val="749B5275"/>
    <w:rsid w:val="74A11F1E"/>
    <w:rsid w:val="74B65081"/>
    <w:rsid w:val="74CC6652"/>
    <w:rsid w:val="74EF698D"/>
    <w:rsid w:val="74F3598D"/>
    <w:rsid w:val="750D2DB1"/>
    <w:rsid w:val="751558C5"/>
    <w:rsid w:val="75251C95"/>
    <w:rsid w:val="752A5A2B"/>
    <w:rsid w:val="752B11AD"/>
    <w:rsid w:val="75434028"/>
    <w:rsid w:val="75531CD2"/>
    <w:rsid w:val="755328D0"/>
    <w:rsid w:val="756D5C3A"/>
    <w:rsid w:val="75722749"/>
    <w:rsid w:val="759F2AF4"/>
    <w:rsid w:val="75AE3D6D"/>
    <w:rsid w:val="75B07D22"/>
    <w:rsid w:val="75BE5F9B"/>
    <w:rsid w:val="75C77160"/>
    <w:rsid w:val="75D92DD5"/>
    <w:rsid w:val="75E30863"/>
    <w:rsid w:val="75F220E9"/>
    <w:rsid w:val="75F45E61"/>
    <w:rsid w:val="75F7FC0A"/>
    <w:rsid w:val="760F2A10"/>
    <w:rsid w:val="761C7F85"/>
    <w:rsid w:val="76257DC8"/>
    <w:rsid w:val="762A3631"/>
    <w:rsid w:val="76326989"/>
    <w:rsid w:val="76400563"/>
    <w:rsid w:val="76515061"/>
    <w:rsid w:val="765F33E2"/>
    <w:rsid w:val="766728C8"/>
    <w:rsid w:val="766B5500"/>
    <w:rsid w:val="766F7295"/>
    <w:rsid w:val="7677439C"/>
    <w:rsid w:val="76786ED6"/>
    <w:rsid w:val="76796366"/>
    <w:rsid w:val="769B66CA"/>
    <w:rsid w:val="76C41185"/>
    <w:rsid w:val="76C62D39"/>
    <w:rsid w:val="7705682C"/>
    <w:rsid w:val="771309D6"/>
    <w:rsid w:val="771C6DA0"/>
    <w:rsid w:val="7738481F"/>
    <w:rsid w:val="77466B31"/>
    <w:rsid w:val="77514081"/>
    <w:rsid w:val="775A530E"/>
    <w:rsid w:val="775E11D5"/>
    <w:rsid w:val="776418CE"/>
    <w:rsid w:val="77762099"/>
    <w:rsid w:val="778F0F13"/>
    <w:rsid w:val="779C0D98"/>
    <w:rsid w:val="77AC0E96"/>
    <w:rsid w:val="77B30F75"/>
    <w:rsid w:val="77B5517C"/>
    <w:rsid w:val="77C302E1"/>
    <w:rsid w:val="77C6451D"/>
    <w:rsid w:val="77CD4E0C"/>
    <w:rsid w:val="77D0412B"/>
    <w:rsid w:val="77E048EF"/>
    <w:rsid w:val="77E35863"/>
    <w:rsid w:val="77E712A8"/>
    <w:rsid w:val="77EF67F0"/>
    <w:rsid w:val="77FA7033"/>
    <w:rsid w:val="77FFC854"/>
    <w:rsid w:val="780C50ED"/>
    <w:rsid w:val="7820665C"/>
    <w:rsid w:val="7824693A"/>
    <w:rsid w:val="78490F34"/>
    <w:rsid w:val="78561357"/>
    <w:rsid w:val="785C63F5"/>
    <w:rsid w:val="786E2ED7"/>
    <w:rsid w:val="788F611A"/>
    <w:rsid w:val="789C2FCB"/>
    <w:rsid w:val="78A107AB"/>
    <w:rsid w:val="78AE3FAE"/>
    <w:rsid w:val="78CA10FB"/>
    <w:rsid w:val="78CF3584"/>
    <w:rsid w:val="78D37FAF"/>
    <w:rsid w:val="78D56973"/>
    <w:rsid w:val="78DC117E"/>
    <w:rsid w:val="78E71810"/>
    <w:rsid w:val="79235D22"/>
    <w:rsid w:val="79317022"/>
    <w:rsid w:val="793A65CF"/>
    <w:rsid w:val="79426EE3"/>
    <w:rsid w:val="794B28CE"/>
    <w:rsid w:val="795310F0"/>
    <w:rsid w:val="795F132D"/>
    <w:rsid w:val="796432FD"/>
    <w:rsid w:val="798376D8"/>
    <w:rsid w:val="79852532"/>
    <w:rsid w:val="798616D5"/>
    <w:rsid w:val="799C0F46"/>
    <w:rsid w:val="799F242C"/>
    <w:rsid w:val="79AB626A"/>
    <w:rsid w:val="79AE45A0"/>
    <w:rsid w:val="79AF2FC9"/>
    <w:rsid w:val="79B002F1"/>
    <w:rsid w:val="79BB161F"/>
    <w:rsid w:val="79E829BF"/>
    <w:rsid w:val="79E8797D"/>
    <w:rsid w:val="79F503F9"/>
    <w:rsid w:val="79FA156C"/>
    <w:rsid w:val="7A2D0DD5"/>
    <w:rsid w:val="7A3263EE"/>
    <w:rsid w:val="7A361E95"/>
    <w:rsid w:val="7A3D24F4"/>
    <w:rsid w:val="7A3D31A1"/>
    <w:rsid w:val="7A405FFD"/>
    <w:rsid w:val="7A42542C"/>
    <w:rsid w:val="7A4B5C3A"/>
    <w:rsid w:val="7A4B626B"/>
    <w:rsid w:val="7A6A7E45"/>
    <w:rsid w:val="7A8A0C41"/>
    <w:rsid w:val="7AC316A2"/>
    <w:rsid w:val="7ACF5B3A"/>
    <w:rsid w:val="7AF02137"/>
    <w:rsid w:val="7B006EAA"/>
    <w:rsid w:val="7B111613"/>
    <w:rsid w:val="7B1D3471"/>
    <w:rsid w:val="7B2C7A8F"/>
    <w:rsid w:val="7B4457F6"/>
    <w:rsid w:val="7B4E1B6F"/>
    <w:rsid w:val="7B641653"/>
    <w:rsid w:val="7B6C59D9"/>
    <w:rsid w:val="7B8C2698"/>
    <w:rsid w:val="7B9233F4"/>
    <w:rsid w:val="7BA1162D"/>
    <w:rsid w:val="7BBD790E"/>
    <w:rsid w:val="7BBFFA5B"/>
    <w:rsid w:val="7BC211A3"/>
    <w:rsid w:val="7BC26CED"/>
    <w:rsid w:val="7BD60305"/>
    <w:rsid w:val="7BE26B83"/>
    <w:rsid w:val="7BE40725"/>
    <w:rsid w:val="7C076B14"/>
    <w:rsid w:val="7C0C6ACE"/>
    <w:rsid w:val="7C226C6E"/>
    <w:rsid w:val="7C286864"/>
    <w:rsid w:val="7C2A6175"/>
    <w:rsid w:val="7C321E06"/>
    <w:rsid w:val="7C3651DF"/>
    <w:rsid w:val="7C38310C"/>
    <w:rsid w:val="7C3C5E6C"/>
    <w:rsid w:val="7C3F20CF"/>
    <w:rsid w:val="7C4B5257"/>
    <w:rsid w:val="7C4E7853"/>
    <w:rsid w:val="7C5038E0"/>
    <w:rsid w:val="7C6E697C"/>
    <w:rsid w:val="7C833A9B"/>
    <w:rsid w:val="7C896BD7"/>
    <w:rsid w:val="7C914409"/>
    <w:rsid w:val="7C9537CE"/>
    <w:rsid w:val="7C9616D3"/>
    <w:rsid w:val="7C961A20"/>
    <w:rsid w:val="7C9901BD"/>
    <w:rsid w:val="7CA44C87"/>
    <w:rsid w:val="7CA83501"/>
    <w:rsid w:val="7CB62482"/>
    <w:rsid w:val="7CCA4EFD"/>
    <w:rsid w:val="7CCE0618"/>
    <w:rsid w:val="7CD41461"/>
    <w:rsid w:val="7D032E2D"/>
    <w:rsid w:val="7D037287"/>
    <w:rsid w:val="7D120079"/>
    <w:rsid w:val="7D1E7475"/>
    <w:rsid w:val="7D2057C9"/>
    <w:rsid w:val="7D2232B3"/>
    <w:rsid w:val="7D2C5EE0"/>
    <w:rsid w:val="7D384885"/>
    <w:rsid w:val="7D3F4010"/>
    <w:rsid w:val="7D407311"/>
    <w:rsid w:val="7D4274B2"/>
    <w:rsid w:val="7D4614FC"/>
    <w:rsid w:val="7D4755A5"/>
    <w:rsid w:val="7D652035"/>
    <w:rsid w:val="7D871368"/>
    <w:rsid w:val="7D9022F2"/>
    <w:rsid w:val="7DAF3BAE"/>
    <w:rsid w:val="7DB84465"/>
    <w:rsid w:val="7DC17D3E"/>
    <w:rsid w:val="7DC84959"/>
    <w:rsid w:val="7DD50326"/>
    <w:rsid w:val="7DE22A43"/>
    <w:rsid w:val="7DF32EA2"/>
    <w:rsid w:val="7DF3455E"/>
    <w:rsid w:val="7E066731"/>
    <w:rsid w:val="7E130801"/>
    <w:rsid w:val="7E282B4B"/>
    <w:rsid w:val="7E5732F3"/>
    <w:rsid w:val="7E573431"/>
    <w:rsid w:val="7E5C27F5"/>
    <w:rsid w:val="7E68119A"/>
    <w:rsid w:val="7E695965"/>
    <w:rsid w:val="7E6F1982"/>
    <w:rsid w:val="7E764688"/>
    <w:rsid w:val="7E7A5C6E"/>
    <w:rsid w:val="7E8E3C2F"/>
    <w:rsid w:val="7E906943"/>
    <w:rsid w:val="7E917ED9"/>
    <w:rsid w:val="7E9401E1"/>
    <w:rsid w:val="7E946B15"/>
    <w:rsid w:val="7E9A61F4"/>
    <w:rsid w:val="7E9C0168"/>
    <w:rsid w:val="7EAA4C5B"/>
    <w:rsid w:val="7EBA751C"/>
    <w:rsid w:val="7ED44D2D"/>
    <w:rsid w:val="7EE06F82"/>
    <w:rsid w:val="7EE60311"/>
    <w:rsid w:val="7EEC3962"/>
    <w:rsid w:val="7EEF71C5"/>
    <w:rsid w:val="7F03298A"/>
    <w:rsid w:val="7F25C27A"/>
    <w:rsid w:val="7F4A4D43"/>
    <w:rsid w:val="7F590B33"/>
    <w:rsid w:val="7F674C93"/>
    <w:rsid w:val="7F8033C2"/>
    <w:rsid w:val="7F8F09A8"/>
    <w:rsid w:val="7F947D6D"/>
    <w:rsid w:val="7FA84136"/>
    <w:rsid w:val="7FAE5FB3"/>
    <w:rsid w:val="7FBA238F"/>
    <w:rsid w:val="7FCF24BD"/>
    <w:rsid w:val="7FD796A1"/>
    <w:rsid w:val="7FF6562E"/>
    <w:rsid w:val="7FFBC871"/>
    <w:rsid w:val="7FFE4288"/>
    <w:rsid w:val="ABFBB882"/>
    <w:rsid w:val="B6CA782F"/>
    <w:rsid w:val="B9FAAD6F"/>
    <w:rsid w:val="BE3E7989"/>
    <w:rsid w:val="BFAD450C"/>
    <w:rsid w:val="C9EF5DB3"/>
    <w:rsid w:val="D1F904B5"/>
    <w:rsid w:val="EC7D9EB3"/>
    <w:rsid w:val="ECAD82E1"/>
    <w:rsid w:val="EE7E23EA"/>
    <w:rsid w:val="F55D0173"/>
    <w:rsid w:val="FA6F87FE"/>
    <w:rsid w:val="FBEDC192"/>
    <w:rsid w:val="FBFF040A"/>
    <w:rsid w:val="FD4C4797"/>
    <w:rsid w:val="FD632CB8"/>
    <w:rsid w:val="FDDF20AB"/>
    <w:rsid w:val="FE6F4F80"/>
    <w:rsid w:val="FED80D8C"/>
    <w:rsid w:val="FEFF29FD"/>
    <w:rsid w:val="FFBF1138"/>
    <w:rsid w:val="FFBF6FD2"/>
    <w:rsid w:val="FFCB1D46"/>
    <w:rsid w:val="FFDFA363"/>
    <w:rsid w:val="FFFA99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ascii="Calibri" w:hAnsi="Calibri" w:eastAsia="宋体" w:cs="Times New Roman"/>
      <w:sz w:val="24"/>
      <w:szCs w:val="24"/>
      <w:lang w:val="en-US" w:eastAsia="zh-CN" w:bidi="ar-SA"/>
    </w:rPr>
  </w:style>
  <w:style w:type="paragraph" w:styleId="2">
    <w:name w:val="heading 1"/>
    <w:basedOn w:val="1"/>
    <w:next w:val="1"/>
    <w:link w:val="53"/>
    <w:qFormat/>
    <w:uiPriority w:val="0"/>
    <w:pPr>
      <w:spacing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link w:val="54"/>
    <w:qFormat/>
    <w:uiPriority w:val="0"/>
    <w:pPr>
      <w:ind w:left="3"/>
      <w:outlineLvl w:val="1"/>
    </w:pPr>
    <w:rPr>
      <w:rFonts w:ascii="Cambria" w:hAnsi="Cambria"/>
      <w:b/>
      <w:bCs/>
      <w:sz w:val="32"/>
      <w:szCs w:val="32"/>
    </w:rPr>
  </w:style>
  <w:style w:type="paragraph" w:styleId="4">
    <w:name w:val="heading 3"/>
    <w:basedOn w:val="1"/>
    <w:next w:val="1"/>
    <w:link w:val="55"/>
    <w:qFormat/>
    <w:uiPriority w:val="0"/>
    <w:pPr>
      <w:ind w:left="100"/>
      <w:outlineLvl w:val="2"/>
    </w:pPr>
    <w:rPr>
      <w:rFonts w:ascii="Times New Roman" w:hAnsi="Times New Roman"/>
      <w:b/>
      <w:bCs/>
      <w:sz w:val="32"/>
      <w:szCs w:val="32"/>
    </w:rPr>
  </w:style>
  <w:style w:type="paragraph" w:styleId="5">
    <w:name w:val="heading 4"/>
    <w:basedOn w:val="1"/>
    <w:next w:val="1"/>
    <w:link w:val="56"/>
    <w:qFormat/>
    <w:uiPriority w:val="0"/>
    <w:pPr>
      <w:ind w:left="237"/>
      <w:outlineLvl w:val="3"/>
    </w:pPr>
    <w:rPr>
      <w:rFonts w:ascii="Cambria" w:hAnsi="Cambria"/>
      <w:b/>
      <w:bCs/>
      <w:sz w:val="28"/>
      <w:szCs w:val="28"/>
    </w:rPr>
  </w:style>
  <w:style w:type="paragraph" w:styleId="6">
    <w:name w:val="heading 5"/>
    <w:basedOn w:val="1"/>
    <w:next w:val="1"/>
    <w:link w:val="57"/>
    <w:qFormat/>
    <w:uiPriority w:val="0"/>
    <w:pPr>
      <w:ind w:left="513"/>
      <w:outlineLvl w:val="4"/>
    </w:pPr>
    <w:rPr>
      <w:rFonts w:ascii="Times New Roman" w:hAnsi="Times New Roman"/>
      <w:b/>
      <w:bCs/>
      <w:sz w:val="28"/>
      <w:szCs w:val="28"/>
    </w:rPr>
  </w:style>
  <w:style w:type="paragraph" w:styleId="7">
    <w:name w:val="heading 6"/>
    <w:basedOn w:val="1"/>
    <w:next w:val="1"/>
    <w:link w:val="58"/>
    <w:qFormat/>
    <w:uiPriority w:val="0"/>
    <w:pPr>
      <w:keepNext/>
      <w:keepLines/>
      <w:autoSpaceDE/>
      <w:autoSpaceDN/>
      <w:adjustRightInd/>
      <w:spacing w:before="240" w:after="64" w:line="317" w:lineRule="auto"/>
      <w:jc w:val="both"/>
      <w:outlineLvl w:val="5"/>
    </w:pPr>
    <w:rPr>
      <w:rFonts w:ascii="Cambria" w:hAnsi="Cambria"/>
      <w:b/>
      <w:bCs/>
      <w:kern w:val="2"/>
    </w:rPr>
  </w:style>
  <w:style w:type="paragraph" w:styleId="8">
    <w:name w:val="heading 7"/>
    <w:basedOn w:val="1"/>
    <w:next w:val="1"/>
    <w:link w:val="59"/>
    <w:qFormat/>
    <w:uiPriority w:val="0"/>
    <w:pPr>
      <w:keepNext/>
      <w:keepLines/>
      <w:autoSpaceDE/>
      <w:autoSpaceDN/>
      <w:adjustRightInd/>
      <w:spacing w:before="240" w:after="64" w:line="317" w:lineRule="auto"/>
      <w:jc w:val="both"/>
      <w:outlineLvl w:val="6"/>
    </w:pPr>
    <w:rPr>
      <w:b/>
      <w:bCs/>
      <w:kern w:val="2"/>
    </w:rPr>
  </w:style>
  <w:style w:type="paragraph" w:styleId="9">
    <w:name w:val="heading 8"/>
    <w:basedOn w:val="1"/>
    <w:next w:val="1"/>
    <w:link w:val="60"/>
    <w:qFormat/>
    <w:uiPriority w:val="0"/>
    <w:pPr>
      <w:keepNext/>
      <w:keepLines/>
      <w:autoSpaceDE/>
      <w:autoSpaceDN/>
      <w:adjustRightInd/>
      <w:spacing w:before="240" w:after="64" w:line="317" w:lineRule="auto"/>
      <w:jc w:val="both"/>
      <w:outlineLvl w:val="7"/>
    </w:pPr>
    <w:rPr>
      <w:rFonts w:ascii="Cambria" w:hAnsi="Cambria"/>
      <w:kern w:val="2"/>
    </w:rPr>
  </w:style>
  <w:style w:type="paragraph" w:styleId="10">
    <w:name w:val="heading 9"/>
    <w:basedOn w:val="1"/>
    <w:next w:val="1"/>
    <w:link w:val="61"/>
    <w:qFormat/>
    <w:uiPriority w:val="0"/>
    <w:pPr>
      <w:keepNext/>
      <w:keepLines/>
      <w:spacing w:before="240" w:after="64" w:line="320" w:lineRule="auto"/>
      <w:outlineLvl w:val="8"/>
    </w:pPr>
    <w:rPr>
      <w:rFonts w:ascii="Cambria" w:hAnsi="Cambria"/>
      <w:sz w:val="20"/>
      <w:szCs w:val="20"/>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autoSpaceDE/>
      <w:autoSpaceDN/>
      <w:adjustRightInd/>
      <w:ind w:left="2520" w:leftChars="1200"/>
      <w:jc w:val="both"/>
    </w:pPr>
    <w:rPr>
      <w:kern w:val="2"/>
      <w:sz w:val="21"/>
      <w:szCs w:val="22"/>
    </w:rPr>
  </w:style>
  <w:style w:type="paragraph" w:styleId="12">
    <w:name w:val="Normal Indent"/>
    <w:basedOn w:val="1"/>
    <w:qFormat/>
    <w:uiPriority w:val="0"/>
    <w:pPr>
      <w:ind w:firstLine="420" w:firstLineChars="200"/>
    </w:pPr>
    <w:rPr>
      <w:rFonts w:ascii="Times New Roman" w:hAnsi="Times New Roman"/>
    </w:rPr>
  </w:style>
  <w:style w:type="paragraph" w:styleId="13">
    <w:name w:val="caption"/>
    <w:basedOn w:val="1"/>
    <w:next w:val="1"/>
    <w:qFormat/>
    <w:uiPriority w:val="0"/>
    <w:pPr>
      <w:autoSpaceDE/>
      <w:autoSpaceDN/>
      <w:adjustRightInd/>
      <w:jc w:val="both"/>
    </w:pPr>
    <w:rPr>
      <w:rFonts w:ascii="Cambria" w:hAnsi="Cambria" w:eastAsia="黑体"/>
      <w:kern w:val="2"/>
      <w:sz w:val="20"/>
      <w:szCs w:val="20"/>
    </w:rPr>
  </w:style>
  <w:style w:type="paragraph" w:styleId="14">
    <w:name w:val="Document Map"/>
    <w:basedOn w:val="1"/>
    <w:link w:val="62"/>
    <w:qFormat/>
    <w:uiPriority w:val="0"/>
    <w:pPr>
      <w:shd w:val="clear" w:color="auto" w:fill="000080"/>
      <w:autoSpaceDE/>
      <w:autoSpaceDN/>
      <w:adjustRightInd/>
      <w:jc w:val="both"/>
    </w:pPr>
    <w:rPr>
      <w:sz w:val="20"/>
      <w:shd w:val="clear" w:color="auto" w:fill="000080"/>
    </w:rPr>
  </w:style>
  <w:style w:type="paragraph" w:styleId="15">
    <w:name w:val="annotation text"/>
    <w:basedOn w:val="1"/>
    <w:link w:val="63"/>
    <w:qFormat/>
    <w:uiPriority w:val="0"/>
  </w:style>
  <w:style w:type="paragraph" w:styleId="16">
    <w:name w:val="Body Text 3"/>
    <w:basedOn w:val="1"/>
    <w:link w:val="64"/>
    <w:qFormat/>
    <w:uiPriority w:val="99"/>
    <w:pPr>
      <w:spacing w:after="120"/>
    </w:pPr>
    <w:rPr>
      <w:rFonts w:ascii="Times New Roman" w:hAnsi="Times New Roman"/>
      <w:sz w:val="16"/>
      <w:szCs w:val="16"/>
    </w:rPr>
  </w:style>
  <w:style w:type="paragraph" w:styleId="17">
    <w:name w:val="Body Text"/>
    <w:basedOn w:val="1"/>
    <w:link w:val="65"/>
    <w:qFormat/>
    <w:uiPriority w:val="0"/>
    <w:pPr>
      <w:ind w:left="520"/>
    </w:pPr>
    <w:rPr>
      <w:rFonts w:ascii="Times New Roman" w:hAnsi="Times New Roman"/>
    </w:rPr>
  </w:style>
  <w:style w:type="paragraph" w:styleId="18">
    <w:name w:val="Body Text Indent"/>
    <w:basedOn w:val="1"/>
    <w:link w:val="66"/>
    <w:qFormat/>
    <w:uiPriority w:val="0"/>
    <w:pPr>
      <w:autoSpaceDE/>
      <w:autoSpaceDN/>
      <w:adjustRightInd/>
      <w:ind w:firstLine="560" w:firstLineChars="200"/>
      <w:jc w:val="both"/>
    </w:pPr>
    <w:rPr>
      <w:rFonts w:ascii="宋体" w:hAnsi="宋体"/>
      <w:sz w:val="28"/>
      <w:szCs w:val="28"/>
    </w:rPr>
  </w:style>
  <w:style w:type="paragraph" w:styleId="19">
    <w:name w:val="index 4"/>
    <w:basedOn w:val="1"/>
    <w:next w:val="1"/>
    <w:qFormat/>
    <w:uiPriority w:val="0"/>
    <w:pPr>
      <w:autoSpaceDE/>
      <w:autoSpaceDN/>
      <w:adjustRightInd/>
      <w:ind w:left="600" w:leftChars="600"/>
      <w:jc w:val="both"/>
    </w:pPr>
    <w:rPr>
      <w:kern w:val="2"/>
      <w:sz w:val="21"/>
    </w:rPr>
  </w:style>
  <w:style w:type="paragraph" w:styleId="20">
    <w:name w:val="toc 5"/>
    <w:basedOn w:val="1"/>
    <w:next w:val="1"/>
    <w:qFormat/>
    <w:uiPriority w:val="0"/>
    <w:pPr>
      <w:tabs>
        <w:tab w:val="right" w:leader="dot" w:pos="8296"/>
      </w:tabs>
      <w:autoSpaceDE/>
      <w:autoSpaceDN/>
      <w:adjustRightInd/>
      <w:ind w:left="1050" w:leftChars="500"/>
      <w:jc w:val="both"/>
    </w:pPr>
    <w:rPr>
      <w:rFonts w:ascii="宋体"/>
      <w:kern w:val="2"/>
      <w:sz w:val="28"/>
      <w:szCs w:val="20"/>
    </w:rPr>
  </w:style>
  <w:style w:type="paragraph" w:styleId="21">
    <w:name w:val="toc 3"/>
    <w:basedOn w:val="1"/>
    <w:next w:val="1"/>
    <w:unhideWhenUsed/>
    <w:qFormat/>
    <w:uiPriority w:val="39"/>
    <w:pPr>
      <w:widowControl/>
      <w:autoSpaceDE/>
      <w:autoSpaceDN/>
      <w:adjustRightInd/>
      <w:spacing w:after="100" w:line="259" w:lineRule="auto"/>
      <w:ind w:left="440"/>
    </w:pPr>
    <w:rPr>
      <w:rFonts w:ascii="等线" w:hAnsi="等线" w:eastAsia="等线"/>
      <w:sz w:val="22"/>
      <w:szCs w:val="22"/>
    </w:rPr>
  </w:style>
  <w:style w:type="paragraph" w:styleId="22">
    <w:name w:val="Plain Text"/>
    <w:basedOn w:val="1"/>
    <w:link w:val="67"/>
    <w:qFormat/>
    <w:uiPriority w:val="0"/>
    <w:pPr>
      <w:autoSpaceDE/>
      <w:autoSpaceDN/>
      <w:adjustRightInd/>
      <w:jc w:val="both"/>
    </w:pPr>
    <w:rPr>
      <w:rFonts w:ascii="宋体" w:hAnsi="Courier New"/>
      <w:sz w:val="20"/>
      <w:szCs w:val="20"/>
    </w:rPr>
  </w:style>
  <w:style w:type="paragraph" w:styleId="23">
    <w:name w:val="toc 8"/>
    <w:basedOn w:val="1"/>
    <w:next w:val="1"/>
    <w:qFormat/>
    <w:uiPriority w:val="0"/>
    <w:pPr>
      <w:autoSpaceDE/>
      <w:autoSpaceDN/>
      <w:adjustRightInd/>
      <w:ind w:left="2940" w:leftChars="1400"/>
      <w:jc w:val="both"/>
    </w:pPr>
    <w:rPr>
      <w:kern w:val="2"/>
      <w:sz w:val="21"/>
      <w:szCs w:val="22"/>
    </w:rPr>
  </w:style>
  <w:style w:type="paragraph" w:styleId="24">
    <w:name w:val="Date"/>
    <w:basedOn w:val="1"/>
    <w:next w:val="1"/>
    <w:link w:val="68"/>
    <w:qFormat/>
    <w:uiPriority w:val="0"/>
    <w:pPr>
      <w:autoSpaceDE/>
      <w:autoSpaceDN/>
      <w:adjustRightInd/>
      <w:ind w:left="100" w:leftChars="2500"/>
      <w:jc w:val="both"/>
    </w:pPr>
    <w:rPr>
      <w:sz w:val="20"/>
    </w:rPr>
  </w:style>
  <w:style w:type="paragraph" w:styleId="25">
    <w:name w:val="Body Text Indent 2"/>
    <w:basedOn w:val="1"/>
    <w:link w:val="69"/>
    <w:qFormat/>
    <w:uiPriority w:val="0"/>
    <w:pPr>
      <w:autoSpaceDE/>
      <w:autoSpaceDN/>
      <w:adjustRightInd/>
      <w:spacing w:line="600" w:lineRule="exact"/>
      <w:ind w:firstLine="480" w:firstLineChars="200"/>
      <w:jc w:val="both"/>
    </w:pPr>
    <w:rPr>
      <w:rFonts w:ascii="宋体" w:hAnsi="宋体"/>
      <w:szCs w:val="28"/>
    </w:rPr>
  </w:style>
  <w:style w:type="paragraph" w:styleId="26">
    <w:name w:val="Balloon Text"/>
    <w:basedOn w:val="1"/>
    <w:link w:val="70"/>
    <w:unhideWhenUsed/>
    <w:qFormat/>
    <w:uiPriority w:val="0"/>
    <w:rPr>
      <w:rFonts w:ascii="Times New Roman" w:hAnsi="Times New Roman"/>
      <w:sz w:val="18"/>
      <w:szCs w:val="18"/>
    </w:rPr>
  </w:style>
  <w:style w:type="paragraph" w:styleId="27">
    <w:name w:val="footer"/>
    <w:basedOn w:val="1"/>
    <w:link w:val="71"/>
    <w:unhideWhenUsed/>
    <w:qFormat/>
    <w:uiPriority w:val="99"/>
    <w:pPr>
      <w:tabs>
        <w:tab w:val="center" w:pos="4153"/>
        <w:tab w:val="right" w:pos="8306"/>
      </w:tabs>
      <w:snapToGrid w:val="0"/>
    </w:pPr>
    <w:rPr>
      <w:rFonts w:ascii="Times New Roman" w:hAnsi="Times New Roman"/>
      <w:sz w:val="18"/>
      <w:szCs w:val="18"/>
    </w:rPr>
  </w:style>
  <w:style w:type="paragraph" w:styleId="28">
    <w:name w:val="header"/>
    <w:basedOn w:val="1"/>
    <w:link w:val="72"/>
    <w:unhideWhenUsed/>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29">
    <w:name w:val="toc 1"/>
    <w:basedOn w:val="1"/>
    <w:next w:val="1"/>
    <w:unhideWhenUsed/>
    <w:qFormat/>
    <w:uiPriority w:val="39"/>
    <w:pPr>
      <w:widowControl/>
      <w:autoSpaceDE/>
      <w:autoSpaceDN/>
      <w:adjustRightInd/>
      <w:spacing w:after="100" w:line="259" w:lineRule="auto"/>
    </w:pPr>
    <w:rPr>
      <w:rFonts w:ascii="等线" w:hAnsi="等线" w:eastAsia="等线"/>
      <w:sz w:val="22"/>
      <w:szCs w:val="22"/>
    </w:rPr>
  </w:style>
  <w:style w:type="paragraph" w:styleId="30">
    <w:name w:val="toc 4"/>
    <w:basedOn w:val="1"/>
    <w:next w:val="1"/>
    <w:qFormat/>
    <w:uiPriority w:val="0"/>
    <w:pPr>
      <w:tabs>
        <w:tab w:val="left" w:pos="1890"/>
        <w:tab w:val="right" w:leader="dot" w:pos="8296"/>
      </w:tabs>
      <w:autoSpaceDE/>
      <w:autoSpaceDN/>
      <w:adjustRightInd/>
      <w:ind w:left="630" w:leftChars="300"/>
      <w:jc w:val="both"/>
    </w:pPr>
    <w:rPr>
      <w:rFonts w:ascii="宋体"/>
      <w:kern w:val="2"/>
      <w:sz w:val="28"/>
      <w:szCs w:val="20"/>
    </w:rPr>
  </w:style>
  <w:style w:type="paragraph" w:styleId="31">
    <w:name w:val="Subtitle"/>
    <w:basedOn w:val="1"/>
    <w:next w:val="1"/>
    <w:link w:val="73"/>
    <w:qFormat/>
    <w:uiPriority w:val="11"/>
    <w:pPr>
      <w:autoSpaceDE/>
      <w:autoSpaceDN/>
      <w:adjustRightInd/>
      <w:spacing w:before="240" w:after="60" w:line="312" w:lineRule="auto"/>
      <w:jc w:val="center"/>
      <w:outlineLvl w:val="1"/>
    </w:pPr>
    <w:rPr>
      <w:rFonts w:ascii="Cambria" w:hAnsi="Cambria"/>
      <w:b/>
      <w:bCs/>
      <w:kern w:val="28"/>
      <w:sz w:val="32"/>
      <w:szCs w:val="32"/>
    </w:rPr>
  </w:style>
  <w:style w:type="paragraph" w:styleId="32">
    <w:name w:val="toc 6"/>
    <w:basedOn w:val="1"/>
    <w:next w:val="1"/>
    <w:qFormat/>
    <w:uiPriority w:val="0"/>
    <w:pPr>
      <w:autoSpaceDE/>
      <w:autoSpaceDN/>
      <w:adjustRightInd/>
      <w:ind w:left="2100" w:leftChars="1000"/>
      <w:jc w:val="both"/>
    </w:pPr>
    <w:rPr>
      <w:kern w:val="2"/>
      <w:sz w:val="21"/>
      <w:szCs w:val="22"/>
    </w:rPr>
  </w:style>
  <w:style w:type="paragraph" w:styleId="33">
    <w:name w:val="Body Text Indent 3"/>
    <w:basedOn w:val="1"/>
    <w:link w:val="74"/>
    <w:qFormat/>
    <w:uiPriority w:val="0"/>
    <w:pPr>
      <w:autoSpaceDE/>
      <w:autoSpaceDN/>
      <w:adjustRightInd/>
      <w:spacing w:after="120"/>
      <w:ind w:left="420" w:leftChars="200"/>
      <w:jc w:val="both"/>
    </w:pPr>
    <w:rPr>
      <w:rFonts w:ascii="宋体"/>
      <w:sz w:val="16"/>
      <w:szCs w:val="16"/>
    </w:rPr>
  </w:style>
  <w:style w:type="paragraph" w:styleId="34">
    <w:name w:val="toc 2"/>
    <w:basedOn w:val="1"/>
    <w:next w:val="1"/>
    <w:unhideWhenUsed/>
    <w:qFormat/>
    <w:uiPriority w:val="39"/>
    <w:pPr>
      <w:widowControl/>
      <w:autoSpaceDE/>
      <w:autoSpaceDN/>
      <w:adjustRightInd/>
      <w:spacing w:after="100" w:line="259" w:lineRule="auto"/>
      <w:ind w:left="220"/>
    </w:pPr>
    <w:rPr>
      <w:rFonts w:ascii="等线" w:hAnsi="等线" w:eastAsia="等线"/>
      <w:sz w:val="22"/>
      <w:szCs w:val="22"/>
    </w:rPr>
  </w:style>
  <w:style w:type="paragraph" w:styleId="35">
    <w:name w:val="toc 9"/>
    <w:basedOn w:val="1"/>
    <w:next w:val="1"/>
    <w:qFormat/>
    <w:uiPriority w:val="0"/>
    <w:pPr>
      <w:autoSpaceDE/>
      <w:autoSpaceDN/>
      <w:adjustRightInd/>
      <w:ind w:left="3360" w:leftChars="1600"/>
      <w:jc w:val="both"/>
    </w:pPr>
    <w:rPr>
      <w:kern w:val="2"/>
      <w:sz w:val="21"/>
      <w:szCs w:val="22"/>
    </w:rPr>
  </w:style>
  <w:style w:type="paragraph" w:styleId="3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7">
    <w:name w:val="Normal (Web)"/>
    <w:basedOn w:val="1"/>
    <w:qFormat/>
    <w:uiPriority w:val="99"/>
    <w:pPr>
      <w:widowControl/>
      <w:autoSpaceDE/>
      <w:autoSpaceDN/>
      <w:adjustRightInd/>
      <w:spacing w:before="100" w:beforeAutospacing="1" w:after="100" w:afterAutospacing="1"/>
    </w:pPr>
    <w:rPr>
      <w:rFonts w:hint="eastAsia" w:ascii="宋体" w:hAnsi="宋体"/>
    </w:rPr>
  </w:style>
  <w:style w:type="paragraph" w:styleId="38">
    <w:name w:val="Title"/>
    <w:basedOn w:val="1"/>
    <w:next w:val="1"/>
    <w:link w:val="75"/>
    <w:qFormat/>
    <w:uiPriority w:val="10"/>
    <w:pPr>
      <w:autoSpaceDE/>
      <w:autoSpaceDN/>
      <w:adjustRightInd/>
      <w:spacing w:before="240" w:after="60"/>
      <w:jc w:val="center"/>
      <w:outlineLvl w:val="0"/>
    </w:pPr>
    <w:rPr>
      <w:rFonts w:ascii="Cambria" w:hAnsi="Cambria"/>
      <w:b/>
      <w:bCs/>
      <w:sz w:val="32"/>
      <w:szCs w:val="32"/>
    </w:rPr>
  </w:style>
  <w:style w:type="paragraph" w:styleId="39">
    <w:name w:val="annotation subject"/>
    <w:basedOn w:val="15"/>
    <w:next w:val="15"/>
    <w:link w:val="76"/>
    <w:qFormat/>
    <w:uiPriority w:val="0"/>
    <w:rPr>
      <w:b/>
      <w:bCs/>
    </w:rPr>
  </w:style>
  <w:style w:type="paragraph" w:styleId="40">
    <w:name w:val="Body Text First Indent"/>
    <w:basedOn w:val="17"/>
    <w:next w:val="32"/>
    <w:qFormat/>
    <w:uiPriority w:val="0"/>
    <w:pPr>
      <w:tabs>
        <w:tab w:val="left" w:pos="9360"/>
      </w:tabs>
      <w:adjustRightInd/>
      <w:ind w:firstLine="420" w:firstLineChars="100"/>
    </w:pPr>
    <w:rPr>
      <w:sz w:val="21"/>
    </w:rPr>
  </w:style>
  <w:style w:type="paragraph" w:styleId="41">
    <w:name w:val="Body Text First Indent 2"/>
    <w:basedOn w:val="18"/>
    <w:semiHidden/>
    <w:unhideWhenUsed/>
    <w:qFormat/>
    <w:uiPriority w:val="99"/>
    <w:pPr>
      <w:ind w:firstLine="420" w:firstLineChars="200"/>
    </w:p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rPr>
  </w:style>
  <w:style w:type="character" w:styleId="46">
    <w:name w:val="page number"/>
    <w:basedOn w:val="44"/>
    <w:qFormat/>
    <w:uiPriority w:val="0"/>
  </w:style>
  <w:style w:type="character" w:styleId="47">
    <w:name w:val="FollowedHyperlink"/>
    <w:qFormat/>
    <w:uiPriority w:val="99"/>
    <w:rPr>
      <w:color w:val="954F72"/>
      <w:u w:val="single"/>
    </w:rPr>
  </w:style>
  <w:style w:type="character" w:styleId="48">
    <w:name w:val="Emphasis"/>
    <w:qFormat/>
    <w:uiPriority w:val="0"/>
    <w:rPr>
      <w:i/>
      <w:iCs/>
    </w:rPr>
  </w:style>
  <w:style w:type="character" w:styleId="49">
    <w:name w:val="Hyperlink"/>
    <w:basedOn w:val="44"/>
    <w:qFormat/>
    <w:uiPriority w:val="99"/>
    <w:rPr>
      <w:rFonts w:hint="default" w:ascii="Times New Roman" w:hAnsi="Times New Roman" w:cs="Times New Roman"/>
      <w:color w:val="0000FF"/>
      <w:u w:val="single"/>
    </w:rPr>
  </w:style>
  <w:style w:type="character" w:styleId="50">
    <w:name w:val="annotation reference"/>
    <w:basedOn w:val="44"/>
    <w:qFormat/>
    <w:uiPriority w:val="0"/>
    <w:rPr>
      <w:sz w:val="21"/>
      <w:szCs w:val="21"/>
    </w:rPr>
  </w:style>
  <w:style w:type="character" w:styleId="51">
    <w:name w:val="HTML Cite"/>
    <w:basedOn w:val="44"/>
    <w:unhideWhenUsed/>
    <w:qFormat/>
    <w:uiPriority w:val="99"/>
    <w:rPr>
      <w:color w:val="008000"/>
    </w:rPr>
  </w:style>
  <w:style w:type="paragraph" w:styleId="52">
    <w:name w:val="List Paragraph"/>
    <w:basedOn w:val="1"/>
    <w:qFormat/>
    <w:uiPriority w:val="0"/>
  </w:style>
  <w:style w:type="character" w:customStyle="1" w:styleId="53">
    <w:name w:val="标题 1 Char"/>
    <w:link w:val="2"/>
    <w:qFormat/>
    <w:locked/>
    <w:uiPriority w:val="0"/>
    <w:rPr>
      <w:rFonts w:ascii="Times New Roman" w:hAnsi="Times New Roman" w:eastAsia="黑体"/>
      <w:bCs/>
      <w:kern w:val="44"/>
      <w:sz w:val="44"/>
      <w:szCs w:val="44"/>
    </w:rPr>
  </w:style>
  <w:style w:type="character" w:customStyle="1" w:styleId="54">
    <w:name w:val="标题 2 Char"/>
    <w:link w:val="3"/>
    <w:qFormat/>
    <w:locked/>
    <w:uiPriority w:val="0"/>
    <w:rPr>
      <w:rFonts w:ascii="Cambria" w:hAnsi="Cambria" w:eastAsia="宋体" w:cs="Times New Roman"/>
      <w:b/>
      <w:bCs/>
      <w:kern w:val="0"/>
      <w:sz w:val="32"/>
      <w:szCs w:val="32"/>
    </w:rPr>
  </w:style>
  <w:style w:type="character" w:customStyle="1" w:styleId="55">
    <w:name w:val="标题 3 Char"/>
    <w:link w:val="4"/>
    <w:qFormat/>
    <w:locked/>
    <w:uiPriority w:val="0"/>
    <w:rPr>
      <w:rFonts w:ascii="Times New Roman" w:hAnsi="Times New Roman" w:cs="Times New Roman"/>
      <w:b/>
      <w:bCs/>
      <w:kern w:val="0"/>
      <w:sz w:val="32"/>
      <w:szCs w:val="32"/>
    </w:rPr>
  </w:style>
  <w:style w:type="character" w:customStyle="1" w:styleId="56">
    <w:name w:val="标题 4 Char"/>
    <w:link w:val="5"/>
    <w:qFormat/>
    <w:locked/>
    <w:uiPriority w:val="0"/>
    <w:rPr>
      <w:rFonts w:ascii="Cambria" w:hAnsi="Cambria" w:eastAsia="宋体" w:cs="Times New Roman"/>
      <w:b/>
      <w:bCs/>
      <w:kern w:val="0"/>
      <w:sz w:val="28"/>
      <w:szCs w:val="28"/>
    </w:rPr>
  </w:style>
  <w:style w:type="character" w:customStyle="1" w:styleId="57">
    <w:name w:val="标题 5 Char"/>
    <w:link w:val="6"/>
    <w:qFormat/>
    <w:locked/>
    <w:uiPriority w:val="0"/>
    <w:rPr>
      <w:rFonts w:ascii="Times New Roman" w:hAnsi="Times New Roman" w:cs="Times New Roman"/>
      <w:b/>
      <w:bCs/>
      <w:kern w:val="0"/>
      <w:sz w:val="28"/>
      <w:szCs w:val="28"/>
    </w:rPr>
  </w:style>
  <w:style w:type="character" w:customStyle="1" w:styleId="58">
    <w:name w:val="标题 6 Char"/>
    <w:link w:val="7"/>
    <w:qFormat/>
    <w:uiPriority w:val="0"/>
    <w:rPr>
      <w:rFonts w:ascii="Cambria" w:hAnsi="Cambria"/>
      <w:b/>
      <w:bCs/>
      <w:kern w:val="2"/>
      <w:sz w:val="24"/>
      <w:szCs w:val="24"/>
    </w:rPr>
  </w:style>
  <w:style w:type="character" w:customStyle="1" w:styleId="59">
    <w:name w:val="标题 7 Char"/>
    <w:link w:val="8"/>
    <w:qFormat/>
    <w:uiPriority w:val="0"/>
    <w:rPr>
      <w:rFonts w:ascii="Calibri" w:hAnsi="Calibri"/>
      <w:b/>
      <w:bCs/>
      <w:kern w:val="2"/>
      <w:sz w:val="24"/>
      <w:szCs w:val="24"/>
    </w:rPr>
  </w:style>
  <w:style w:type="character" w:customStyle="1" w:styleId="60">
    <w:name w:val="标题 8 Char"/>
    <w:link w:val="9"/>
    <w:qFormat/>
    <w:uiPriority w:val="0"/>
    <w:rPr>
      <w:rFonts w:ascii="Cambria" w:hAnsi="Cambria"/>
      <w:kern w:val="2"/>
      <w:sz w:val="24"/>
      <w:szCs w:val="24"/>
    </w:rPr>
  </w:style>
  <w:style w:type="character" w:customStyle="1" w:styleId="61">
    <w:name w:val="标题 9 Char1"/>
    <w:link w:val="10"/>
    <w:qFormat/>
    <w:locked/>
    <w:uiPriority w:val="0"/>
    <w:rPr>
      <w:rFonts w:ascii="Cambria" w:hAnsi="Cambria" w:eastAsia="宋体" w:cs="Times New Roman"/>
      <w:kern w:val="0"/>
    </w:rPr>
  </w:style>
  <w:style w:type="character" w:customStyle="1" w:styleId="62">
    <w:name w:val="文档结构图 Char"/>
    <w:link w:val="14"/>
    <w:qFormat/>
    <w:uiPriority w:val="0"/>
    <w:rPr>
      <w:szCs w:val="24"/>
      <w:shd w:val="clear" w:color="auto" w:fill="000080"/>
    </w:rPr>
  </w:style>
  <w:style w:type="character" w:customStyle="1" w:styleId="63">
    <w:name w:val="批注文字 Char1"/>
    <w:link w:val="15"/>
    <w:qFormat/>
    <w:uiPriority w:val="0"/>
    <w:rPr>
      <w:sz w:val="24"/>
      <w:szCs w:val="24"/>
    </w:rPr>
  </w:style>
  <w:style w:type="character" w:customStyle="1" w:styleId="64">
    <w:name w:val="正文文本 3 Char"/>
    <w:link w:val="16"/>
    <w:qFormat/>
    <w:locked/>
    <w:uiPriority w:val="99"/>
    <w:rPr>
      <w:rFonts w:ascii="Times New Roman" w:hAnsi="Times New Roman" w:cs="Times New Roman"/>
      <w:kern w:val="0"/>
      <w:sz w:val="16"/>
      <w:szCs w:val="16"/>
    </w:rPr>
  </w:style>
  <w:style w:type="character" w:customStyle="1" w:styleId="65">
    <w:name w:val="正文文本 Char"/>
    <w:link w:val="17"/>
    <w:qFormat/>
    <w:locked/>
    <w:uiPriority w:val="0"/>
    <w:rPr>
      <w:rFonts w:ascii="Times New Roman" w:hAnsi="Times New Roman" w:cs="Times New Roman"/>
      <w:kern w:val="0"/>
      <w:sz w:val="24"/>
      <w:szCs w:val="24"/>
    </w:rPr>
  </w:style>
  <w:style w:type="character" w:customStyle="1" w:styleId="66">
    <w:name w:val="正文文本缩进 Char"/>
    <w:link w:val="18"/>
    <w:qFormat/>
    <w:uiPriority w:val="0"/>
    <w:rPr>
      <w:rFonts w:ascii="宋体" w:hAnsi="宋体"/>
      <w:sz w:val="28"/>
      <w:szCs w:val="28"/>
    </w:rPr>
  </w:style>
  <w:style w:type="character" w:customStyle="1" w:styleId="67">
    <w:name w:val="纯文本 Char"/>
    <w:link w:val="22"/>
    <w:qFormat/>
    <w:locked/>
    <w:uiPriority w:val="0"/>
    <w:rPr>
      <w:rFonts w:ascii="宋体" w:hAnsi="Courier New" w:eastAsia="宋体"/>
    </w:rPr>
  </w:style>
  <w:style w:type="character" w:customStyle="1" w:styleId="68">
    <w:name w:val="日期 Char"/>
    <w:link w:val="24"/>
    <w:qFormat/>
    <w:uiPriority w:val="0"/>
    <w:rPr>
      <w:szCs w:val="24"/>
    </w:rPr>
  </w:style>
  <w:style w:type="character" w:customStyle="1" w:styleId="69">
    <w:name w:val="正文文本缩进 2 Char"/>
    <w:link w:val="25"/>
    <w:qFormat/>
    <w:uiPriority w:val="0"/>
    <w:rPr>
      <w:rFonts w:ascii="宋体" w:hAnsi="宋体"/>
      <w:sz w:val="24"/>
      <w:szCs w:val="28"/>
    </w:rPr>
  </w:style>
  <w:style w:type="character" w:customStyle="1" w:styleId="70">
    <w:name w:val="批注框文本 Char"/>
    <w:link w:val="26"/>
    <w:qFormat/>
    <w:locked/>
    <w:uiPriority w:val="0"/>
    <w:rPr>
      <w:rFonts w:ascii="Times New Roman" w:hAnsi="Times New Roman" w:cs="Times New Roman"/>
      <w:kern w:val="0"/>
      <w:sz w:val="18"/>
      <w:szCs w:val="18"/>
    </w:rPr>
  </w:style>
  <w:style w:type="character" w:customStyle="1" w:styleId="71">
    <w:name w:val="页脚 Char"/>
    <w:link w:val="27"/>
    <w:qFormat/>
    <w:locked/>
    <w:uiPriority w:val="99"/>
    <w:rPr>
      <w:rFonts w:ascii="Times New Roman" w:hAnsi="Times New Roman" w:cs="Times New Roman"/>
      <w:kern w:val="0"/>
      <w:sz w:val="18"/>
      <w:szCs w:val="18"/>
    </w:rPr>
  </w:style>
  <w:style w:type="character" w:customStyle="1" w:styleId="72">
    <w:name w:val="页眉 Char"/>
    <w:link w:val="28"/>
    <w:qFormat/>
    <w:locked/>
    <w:uiPriority w:val="0"/>
    <w:rPr>
      <w:rFonts w:ascii="Times New Roman" w:hAnsi="Times New Roman" w:cs="Times New Roman"/>
      <w:kern w:val="0"/>
      <w:sz w:val="18"/>
      <w:szCs w:val="18"/>
    </w:rPr>
  </w:style>
  <w:style w:type="character" w:customStyle="1" w:styleId="73">
    <w:name w:val="副标题 Char1"/>
    <w:link w:val="31"/>
    <w:qFormat/>
    <w:uiPriority w:val="11"/>
    <w:rPr>
      <w:rFonts w:ascii="Cambria" w:hAnsi="Cambria"/>
      <w:b/>
      <w:bCs/>
      <w:kern w:val="28"/>
      <w:sz w:val="32"/>
      <w:szCs w:val="32"/>
    </w:rPr>
  </w:style>
  <w:style w:type="character" w:customStyle="1" w:styleId="74">
    <w:name w:val="正文文本缩进 3 Char"/>
    <w:link w:val="33"/>
    <w:qFormat/>
    <w:uiPriority w:val="0"/>
    <w:rPr>
      <w:rFonts w:ascii="宋体"/>
      <w:sz w:val="16"/>
      <w:szCs w:val="16"/>
    </w:rPr>
  </w:style>
  <w:style w:type="character" w:customStyle="1" w:styleId="75">
    <w:name w:val="标题 Char1"/>
    <w:link w:val="38"/>
    <w:qFormat/>
    <w:uiPriority w:val="10"/>
    <w:rPr>
      <w:rFonts w:ascii="Cambria" w:hAnsi="Cambria"/>
      <w:b/>
      <w:bCs/>
      <w:sz w:val="32"/>
      <w:szCs w:val="32"/>
    </w:rPr>
  </w:style>
  <w:style w:type="character" w:customStyle="1" w:styleId="76">
    <w:name w:val="批注主题 Char"/>
    <w:link w:val="39"/>
    <w:qFormat/>
    <w:uiPriority w:val="0"/>
    <w:rPr>
      <w:b/>
      <w:bCs/>
      <w:sz w:val="24"/>
      <w:szCs w:val="24"/>
    </w:rPr>
  </w:style>
  <w:style w:type="character" w:customStyle="1" w:styleId="77">
    <w:name w:val="textcontents"/>
    <w:qFormat/>
    <w:uiPriority w:val="0"/>
    <w:rPr>
      <w:rFonts w:cs="Times New Roman"/>
    </w:rPr>
  </w:style>
  <w:style w:type="character" w:customStyle="1" w:styleId="78">
    <w:name w:val="不明显强调1"/>
    <w:qFormat/>
    <w:uiPriority w:val="0"/>
    <w:rPr>
      <w:i/>
      <w:iCs/>
      <w:color w:val="808080"/>
    </w:rPr>
  </w:style>
  <w:style w:type="character" w:customStyle="1" w:styleId="79">
    <w:name w:val="明显参考1"/>
    <w:qFormat/>
    <w:uiPriority w:val="0"/>
    <w:rPr>
      <w:b/>
      <w:bCs/>
      <w:smallCaps/>
      <w:color w:val="C0504D"/>
      <w:spacing w:val="5"/>
      <w:u w:val="single"/>
    </w:rPr>
  </w:style>
  <w:style w:type="character" w:customStyle="1" w:styleId="80">
    <w:name w:val="批注框文本 字符1"/>
    <w:basedOn w:val="44"/>
    <w:qFormat/>
    <w:uiPriority w:val="0"/>
    <w:rPr>
      <w:sz w:val="18"/>
      <w:szCs w:val="18"/>
    </w:rPr>
  </w:style>
  <w:style w:type="character" w:customStyle="1" w:styleId="81">
    <w:name w:val="批注主题 字符1"/>
    <w:qFormat/>
    <w:uiPriority w:val="0"/>
    <w:rPr>
      <w:rFonts w:hint="eastAsia" w:ascii="等线" w:hAnsi="等线" w:eastAsia="等线" w:cs="Times New Roman"/>
      <w:b/>
      <w:bCs/>
      <w:kern w:val="2"/>
      <w:sz w:val="21"/>
      <w:szCs w:val="22"/>
    </w:rPr>
  </w:style>
  <w:style w:type="character" w:customStyle="1" w:styleId="82">
    <w:name w:val="日期 Char1"/>
    <w:qFormat/>
    <w:uiPriority w:val="0"/>
    <w:rPr>
      <w:kern w:val="2"/>
      <w:sz w:val="21"/>
      <w:szCs w:val="22"/>
    </w:rPr>
  </w:style>
  <w:style w:type="character" w:customStyle="1" w:styleId="83">
    <w:name w:val="样式 正文文本 Char"/>
    <w:link w:val="84"/>
    <w:qFormat/>
    <w:uiPriority w:val="0"/>
    <w:rPr>
      <w:rFonts w:ascii="Arial" w:hAnsi="Arial"/>
      <w:color w:val="000000"/>
      <w:kern w:val="2"/>
      <w:sz w:val="21"/>
    </w:rPr>
  </w:style>
  <w:style w:type="paragraph" w:customStyle="1" w:styleId="84">
    <w:name w:val="样式 正文文本"/>
    <w:basedOn w:val="1"/>
    <w:link w:val="83"/>
    <w:qFormat/>
    <w:uiPriority w:val="0"/>
    <w:pPr>
      <w:autoSpaceDE/>
      <w:autoSpaceDN/>
      <w:snapToGrid w:val="0"/>
      <w:spacing w:line="400" w:lineRule="exact"/>
      <w:jc w:val="both"/>
    </w:pPr>
    <w:rPr>
      <w:rFonts w:ascii="Arial" w:hAnsi="Arial"/>
      <w:color w:val="000000"/>
      <w:kern w:val="2"/>
      <w:sz w:val="21"/>
      <w:szCs w:val="20"/>
    </w:rPr>
  </w:style>
  <w:style w:type="character" w:customStyle="1" w:styleId="85">
    <w:name w:val="font21"/>
    <w:basedOn w:val="44"/>
    <w:qFormat/>
    <w:uiPriority w:val="0"/>
    <w:rPr>
      <w:rFonts w:hint="eastAsia" w:ascii="宋体" w:hAnsi="宋体" w:eastAsia="宋体" w:cs="宋体"/>
      <w:color w:val="FF0000"/>
      <w:sz w:val="22"/>
      <w:szCs w:val="22"/>
      <w:u w:val="none"/>
    </w:rPr>
  </w:style>
  <w:style w:type="character" w:customStyle="1" w:styleId="86">
    <w:name w:val="副标题 字符1"/>
    <w:qFormat/>
    <w:uiPriority w:val="11"/>
    <w:rPr>
      <w:rFonts w:ascii="等线 Light" w:hAnsi="等线 Light" w:cs="Times New Roman"/>
      <w:b/>
      <w:bCs/>
      <w:kern w:val="28"/>
      <w:sz w:val="32"/>
      <w:szCs w:val="32"/>
    </w:rPr>
  </w:style>
  <w:style w:type="character" w:customStyle="1" w:styleId="87">
    <w:name w:val="纯文本 Char1"/>
    <w:semiHidden/>
    <w:qFormat/>
    <w:locked/>
    <w:uiPriority w:val="0"/>
    <w:rPr>
      <w:rFonts w:ascii="宋体" w:hAnsi="Courier New" w:cs="Courier New"/>
      <w:kern w:val="2"/>
      <w:sz w:val="21"/>
      <w:szCs w:val="21"/>
    </w:rPr>
  </w:style>
  <w:style w:type="character" w:customStyle="1" w:styleId="88">
    <w:name w:val="ca-521"/>
    <w:qFormat/>
    <w:uiPriority w:val="0"/>
    <w:rPr>
      <w:rFonts w:ascii="宋体" w:hAnsi="宋体" w:eastAsia="宋体"/>
      <w:b/>
      <w:spacing w:val="-20"/>
      <w:sz w:val="36"/>
    </w:rPr>
  </w:style>
  <w:style w:type="character" w:customStyle="1" w:styleId="89">
    <w:name w:val="标题 9 Char"/>
    <w:qFormat/>
    <w:uiPriority w:val="0"/>
    <w:rPr>
      <w:rFonts w:ascii="Cambria" w:hAnsi="Cambria" w:eastAsia="宋体"/>
      <w:kern w:val="2"/>
      <w:sz w:val="21"/>
      <w:lang w:val="en-US" w:eastAsia="zh-CN"/>
    </w:rPr>
  </w:style>
  <w:style w:type="character" w:customStyle="1" w:styleId="90">
    <w:name w:val="正文文本 3 字符1"/>
    <w:basedOn w:val="44"/>
    <w:qFormat/>
    <w:uiPriority w:val="0"/>
    <w:rPr>
      <w:sz w:val="16"/>
      <w:szCs w:val="16"/>
    </w:rPr>
  </w:style>
  <w:style w:type="character" w:customStyle="1" w:styleId="91">
    <w:name w:val="znkcfl3"/>
    <w:basedOn w:val="44"/>
    <w:qFormat/>
    <w:uiPriority w:val="0"/>
  </w:style>
  <w:style w:type="character" w:customStyle="1" w:styleId="92">
    <w:name w:val="个人撰写风格"/>
    <w:qFormat/>
    <w:uiPriority w:val="0"/>
    <w:rPr>
      <w:rFonts w:ascii="Arial" w:hAnsi="Arial" w:eastAsia="宋体" w:cs="Arial"/>
      <w:color w:val="auto"/>
      <w:sz w:val="20"/>
    </w:rPr>
  </w:style>
  <w:style w:type="character" w:customStyle="1" w:styleId="93">
    <w:name w:val="明显引用 字符2"/>
    <w:basedOn w:val="44"/>
    <w:qFormat/>
    <w:uiPriority w:val="0"/>
    <w:rPr>
      <w:i/>
      <w:iCs/>
      <w:color w:val="4472C4"/>
    </w:rPr>
  </w:style>
  <w:style w:type="character" w:customStyle="1" w:styleId="94">
    <w:name w:val="明显引用 字符1"/>
    <w:qFormat/>
    <w:uiPriority w:val="30"/>
    <w:rPr>
      <w:i/>
      <w:iCs/>
      <w:color w:val="4472C4"/>
      <w:sz w:val="24"/>
      <w:szCs w:val="24"/>
    </w:rPr>
  </w:style>
  <w:style w:type="character" w:customStyle="1" w:styleId="95">
    <w:name w:val="引用 字符1"/>
    <w:qFormat/>
    <w:uiPriority w:val="29"/>
    <w:rPr>
      <w:i/>
      <w:iCs/>
      <w:color w:val="404040"/>
      <w:sz w:val="24"/>
      <w:szCs w:val="24"/>
    </w:rPr>
  </w:style>
  <w:style w:type="character" w:customStyle="1" w:styleId="96">
    <w:name w:val="jsaker"/>
    <w:basedOn w:val="44"/>
    <w:qFormat/>
    <w:uiPriority w:val="0"/>
  </w:style>
  <w:style w:type="character" w:customStyle="1" w:styleId="97">
    <w:name w:val="正文文本缩进 2 字符1"/>
    <w:qFormat/>
    <w:uiPriority w:val="99"/>
    <w:rPr>
      <w:sz w:val="24"/>
      <w:szCs w:val="24"/>
    </w:rPr>
  </w:style>
  <w:style w:type="character" w:customStyle="1" w:styleId="98">
    <w:name w:val="文档结构图 字符2"/>
    <w:basedOn w:val="44"/>
    <w:qFormat/>
    <w:uiPriority w:val="0"/>
    <w:rPr>
      <w:rFonts w:hint="eastAsia" w:ascii="Microsoft YaHei UI" w:hAnsi="Microsoft YaHei UI" w:eastAsia="Microsoft YaHei UI" w:cs="Microsoft YaHei UI"/>
      <w:sz w:val="18"/>
      <w:szCs w:val="18"/>
    </w:rPr>
  </w:style>
  <w:style w:type="character" w:customStyle="1" w:styleId="99">
    <w:name w:val="正文文本缩进 字符1"/>
    <w:qFormat/>
    <w:uiPriority w:val="99"/>
    <w:rPr>
      <w:sz w:val="24"/>
      <w:szCs w:val="24"/>
    </w:rPr>
  </w:style>
  <w:style w:type="character" w:customStyle="1" w:styleId="100">
    <w:name w:val="引用 字符2"/>
    <w:basedOn w:val="44"/>
    <w:qFormat/>
    <w:uiPriority w:val="0"/>
    <w:rPr>
      <w:i/>
      <w:iCs/>
      <w:color w:val="404040"/>
    </w:rPr>
  </w:style>
  <w:style w:type="character" w:customStyle="1" w:styleId="101">
    <w:name w:val="正文文本缩进 3 字符1"/>
    <w:qFormat/>
    <w:uiPriority w:val="99"/>
    <w:rPr>
      <w:sz w:val="16"/>
      <w:szCs w:val="16"/>
    </w:rPr>
  </w:style>
  <w:style w:type="character" w:customStyle="1" w:styleId="102">
    <w:name w:val="招标公告 字符"/>
    <w:basedOn w:val="55"/>
    <w:link w:val="103"/>
    <w:qFormat/>
    <w:uiPriority w:val="1"/>
    <w:rPr>
      <w:rFonts w:ascii="宋体" w:hAnsi="宋体"/>
    </w:rPr>
  </w:style>
  <w:style w:type="paragraph" w:customStyle="1" w:styleId="103">
    <w:name w:val="招标公告"/>
    <w:basedOn w:val="4"/>
    <w:link w:val="102"/>
    <w:qFormat/>
    <w:uiPriority w:val="1"/>
    <w:pPr>
      <w:numPr>
        <w:ilvl w:val="3"/>
        <w:numId w:val="1"/>
      </w:numPr>
      <w:kinsoku w:val="0"/>
      <w:spacing w:line="360" w:lineRule="auto"/>
    </w:pPr>
    <w:rPr>
      <w:rFonts w:ascii="宋体" w:hAnsi="宋体"/>
    </w:rPr>
  </w:style>
  <w:style w:type="character" w:customStyle="1" w:styleId="104">
    <w:name w:val="日期 字符2"/>
    <w:basedOn w:val="44"/>
    <w:qFormat/>
    <w:uiPriority w:val="0"/>
  </w:style>
  <w:style w:type="character" w:customStyle="1" w:styleId="105">
    <w:name w:val="批注文字 字符1"/>
    <w:semiHidden/>
    <w:qFormat/>
    <w:uiPriority w:val="99"/>
    <w:rPr>
      <w:rFonts w:ascii="宋体" w:hAnsi="Times New Roman" w:eastAsia="宋体" w:cs="Times New Roman"/>
      <w:sz w:val="28"/>
      <w:szCs w:val="20"/>
    </w:rPr>
  </w:style>
  <w:style w:type="character" w:customStyle="1" w:styleId="106">
    <w:name w:val="明显引用 Char1"/>
    <w:qFormat/>
    <w:uiPriority w:val="30"/>
    <w:rPr>
      <w:rFonts w:ascii="宋体"/>
      <w:b/>
      <w:bCs/>
      <w:i/>
      <w:iCs/>
      <w:color w:val="4F81BD"/>
      <w:kern w:val="2"/>
      <w:sz w:val="28"/>
    </w:rPr>
  </w:style>
  <w:style w:type="character" w:customStyle="1" w:styleId="107">
    <w:name w:val="正文文本缩进 2 字符2"/>
    <w:basedOn w:val="44"/>
    <w:qFormat/>
    <w:uiPriority w:val="0"/>
  </w:style>
  <w:style w:type="character" w:customStyle="1" w:styleId="108">
    <w:name w:val="个人答复风格"/>
    <w:qFormat/>
    <w:uiPriority w:val="0"/>
    <w:rPr>
      <w:rFonts w:ascii="Arial" w:hAnsi="Arial" w:eastAsia="宋体" w:cs="Arial"/>
      <w:color w:val="auto"/>
      <w:sz w:val="20"/>
    </w:rPr>
  </w:style>
  <w:style w:type="character" w:customStyle="1" w:styleId="109">
    <w:name w:val="批注文字 字符"/>
    <w:basedOn w:val="44"/>
    <w:qFormat/>
    <w:uiPriority w:val="0"/>
    <w:rPr>
      <w:sz w:val="24"/>
      <w:szCs w:val="24"/>
    </w:rPr>
  </w:style>
  <w:style w:type="character" w:customStyle="1" w:styleId="110">
    <w:name w:val="批注框文本 Char1"/>
    <w:qFormat/>
    <w:uiPriority w:val="0"/>
    <w:rPr>
      <w:kern w:val="2"/>
      <w:sz w:val="18"/>
      <w:szCs w:val="18"/>
    </w:rPr>
  </w:style>
  <w:style w:type="character" w:customStyle="1" w:styleId="111">
    <w:name w:val="标题4 Char Char"/>
    <w:link w:val="112"/>
    <w:qFormat/>
    <w:uiPriority w:val="0"/>
    <w:rPr>
      <w:rFonts w:ascii="Arial" w:hAnsi="Arial"/>
      <w:b/>
      <w:bCs/>
      <w:sz w:val="24"/>
      <w:szCs w:val="32"/>
    </w:rPr>
  </w:style>
  <w:style w:type="paragraph" w:customStyle="1" w:styleId="112">
    <w:name w:val="标题4"/>
    <w:basedOn w:val="3"/>
    <w:next w:val="19"/>
    <w:link w:val="111"/>
    <w:qFormat/>
    <w:uiPriority w:val="0"/>
    <w:pPr>
      <w:keepNext/>
      <w:keepLines/>
      <w:autoSpaceDE/>
      <w:autoSpaceDN/>
      <w:adjustRightInd/>
      <w:spacing w:before="260" w:after="260" w:line="413" w:lineRule="auto"/>
      <w:ind w:left="0"/>
      <w:jc w:val="both"/>
    </w:pPr>
    <w:rPr>
      <w:rFonts w:ascii="Arial" w:hAnsi="Arial"/>
      <w:sz w:val="24"/>
    </w:rPr>
  </w:style>
  <w:style w:type="character" w:customStyle="1" w:styleId="113">
    <w:name w:val="批注文字 Char Char"/>
    <w:qFormat/>
    <w:uiPriority w:val="0"/>
    <w:rPr>
      <w:rFonts w:ascii="宋体" w:hAnsi="Times New Roman" w:eastAsia="宋体" w:cs="Times New Roman"/>
      <w:sz w:val="28"/>
      <w:szCs w:val="20"/>
    </w:rPr>
  </w:style>
  <w:style w:type="character" w:customStyle="1" w:styleId="114">
    <w:name w:val="s3"/>
    <w:qFormat/>
    <w:uiPriority w:val="0"/>
  </w:style>
  <w:style w:type="character" w:customStyle="1" w:styleId="115">
    <w:name w:val="日期 字符1"/>
    <w:qFormat/>
    <w:uiPriority w:val="99"/>
    <w:rPr>
      <w:sz w:val="24"/>
      <w:szCs w:val="24"/>
    </w:rPr>
  </w:style>
  <w:style w:type="character" w:customStyle="1" w:styleId="116">
    <w:name w:val="明显强调1"/>
    <w:qFormat/>
    <w:uiPriority w:val="0"/>
    <w:rPr>
      <w:b/>
      <w:bCs/>
      <w:i/>
      <w:iCs/>
      <w:color w:val="4F81BD"/>
    </w:rPr>
  </w:style>
  <w:style w:type="character" w:customStyle="1" w:styleId="117">
    <w:name w:val="引用 Char1"/>
    <w:qFormat/>
    <w:uiPriority w:val="29"/>
    <w:rPr>
      <w:rFonts w:ascii="宋体"/>
      <w:i/>
      <w:iCs/>
      <w:color w:val="000000"/>
      <w:kern w:val="2"/>
      <w:sz w:val="28"/>
    </w:rPr>
  </w:style>
  <w:style w:type="character" w:customStyle="1" w:styleId="118">
    <w:name w:val="明显引用 Char2"/>
    <w:basedOn w:val="44"/>
    <w:link w:val="119"/>
    <w:qFormat/>
    <w:uiPriority w:val="0"/>
    <w:rPr>
      <w:rFonts w:hint="eastAsia" w:ascii="等线" w:hAnsi="等线" w:eastAsia="等线" w:cs="Times New Roman"/>
      <w:b/>
      <w:bCs/>
      <w:i/>
      <w:iCs/>
      <w:color w:val="4472C4"/>
      <w:kern w:val="2"/>
      <w:sz w:val="21"/>
      <w:szCs w:val="22"/>
    </w:rPr>
  </w:style>
  <w:style w:type="paragraph" w:styleId="119">
    <w:name w:val="Intense Quote"/>
    <w:basedOn w:val="1"/>
    <w:next w:val="1"/>
    <w:link w:val="118"/>
    <w:qFormat/>
    <w:uiPriority w:val="0"/>
    <w:pPr>
      <w:pBdr>
        <w:bottom w:val="single" w:color="4F81BD" w:sz="4" w:space="4"/>
      </w:pBdr>
      <w:autoSpaceDE/>
      <w:autoSpaceDN/>
      <w:adjustRightInd/>
      <w:spacing w:before="200" w:after="280"/>
      <w:ind w:left="936" w:right="936"/>
      <w:jc w:val="both"/>
    </w:pPr>
    <w:rPr>
      <w:b/>
      <w:bCs/>
      <w:i/>
      <w:iCs/>
      <w:color w:val="4F81BD"/>
      <w:sz w:val="20"/>
      <w:szCs w:val="20"/>
    </w:rPr>
  </w:style>
  <w:style w:type="character" w:customStyle="1" w:styleId="120">
    <w:name w:val="标题5 Char Char"/>
    <w:link w:val="121"/>
    <w:qFormat/>
    <w:uiPriority w:val="0"/>
    <w:rPr>
      <w:rFonts w:ascii="Arial" w:hAnsi="Arial"/>
      <w:b/>
      <w:bCs/>
      <w:sz w:val="24"/>
      <w:szCs w:val="32"/>
    </w:rPr>
  </w:style>
  <w:style w:type="paragraph" w:customStyle="1" w:styleId="121">
    <w:name w:val="标题5"/>
    <w:basedOn w:val="4"/>
    <w:link w:val="120"/>
    <w:qFormat/>
    <w:uiPriority w:val="0"/>
    <w:pPr>
      <w:keepNext/>
      <w:keepLines/>
      <w:autoSpaceDE/>
      <w:autoSpaceDN/>
      <w:adjustRightInd/>
      <w:spacing w:before="260" w:after="260" w:line="413" w:lineRule="auto"/>
      <w:ind w:left="0"/>
      <w:jc w:val="both"/>
    </w:pPr>
    <w:rPr>
      <w:rFonts w:ascii="Arial" w:hAnsi="Arial"/>
      <w:sz w:val="24"/>
    </w:rPr>
  </w:style>
  <w:style w:type="character" w:customStyle="1" w:styleId="122">
    <w:name w:val="font11"/>
    <w:basedOn w:val="44"/>
    <w:qFormat/>
    <w:uiPriority w:val="0"/>
    <w:rPr>
      <w:rFonts w:hint="eastAsia" w:ascii="宋体" w:hAnsi="宋体" w:eastAsia="宋体" w:cs="宋体"/>
      <w:color w:val="000000"/>
      <w:sz w:val="22"/>
      <w:szCs w:val="22"/>
      <w:u w:val="none"/>
    </w:rPr>
  </w:style>
  <w:style w:type="character" w:customStyle="1" w:styleId="123">
    <w:name w:val="文档结构图 Char1"/>
    <w:qFormat/>
    <w:uiPriority w:val="0"/>
    <w:rPr>
      <w:rFonts w:ascii="宋体"/>
      <w:kern w:val="2"/>
      <w:sz w:val="18"/>
      <w:szCs w:val="18"/>
    </w:rPr>
  </w:style>
  <w:style w:type="character" w:customStyle="1" w:styleId="124">
    <w:name w:val="书籍标题1"/>
    <w:qFormat/>
    <w:uiPriority w:val="0"/>
    <w:rPr>
      <w:b/>
      <w:bCs/>
      <w:smallCaps/>
      <w:spacing w:val="5"/>
    </w:rPr>
  </w:style>
  <w:style w:type="character" w:customStyle="1" w:styleId="125">
    <w:name w:val="hover27"/>
    <w:basedOn w:val="44"/>
    <w:qFormat/>
    <w:uiPriority w:val="0"/>
    <w:rPr>
      <w:color w:val="315EFB"/>
    </w:rPr>
  </w:style>
  <w:style w:type="character" w:customStyle="1" w:styleId="126">
    <w:name w:val="明显引用 Char"/>
    <w:qFormat/>
    <w:uiPriority w:val="0"/>
    <w:rPr>
      <w:b/>
      <w:bCs/>
      <w:i/>
      <w:iCs/>
      <w:color w:val="4F81BD"/>
    </w:rPr>
  </w:style>
  <w:style w:type="character" w:customStyle="1" w:styleId="127">
    <w:name w:val="正文文本 Char1"/>
    <w:qFormat/>
    <w:uiPriority w:val="0"/>
    <w:rPr>
      <w:kern w:val="2"/>
      <w:sz w:val="21"/>
      <w:szCs w:val="22"/>
    </w:rPr>
  </w:style>
  <w:style w:type="character" w:customStyle="1" w:styleId="128">
    <w:name w:val="ca-341"/>
    <w:qFormat/>
    <w:uiPriority w:val="0"/>
    <w:rPr>
      <w:rFonts w:hint="eastAsia" w:ascii="宋体" w:hAnsi="宋体" w:eastAsia="宋体"/>
      <w:color w:val="000000"/>
      <w:sz w:val="20"/>
      <w:szCs w:val="20"/>
    </w:rPr>
  </w:style>
  <w:style w:type="character" w:customStyle="1" w:styleId="129">
    <w:name w:val="未处理的提及1"/>
    <w:unhideWhenUsed/>
    <w:qFormat/>
    <w:uiPriority w:val="99"/>
    <w:rPr>
      <w:color w:val="605E5C"/>
      <w:shd w:val="clear" w:color="auto" w:fill="E1DFDD"/>
    </w:rPr>
  </w:style>
  <w:style w:type="character" w:customStyle="1" w:styleId="130">
    <w:name w:val="纯文本 字符"/>
    <w:qFormat/>
    <w:uiPriority w:val="0"/>
    <w:rPr>
      <w:rFonts w:ascii="宋体" w:hAnsi="Courier New" w:eastAsia="宋体" w:cs="Courier New"/>
      <w:kern w:val="0"/>
    </w:rPr>
  </w:style>
  <w:style w:type="character" w:customStyle="1" w:styleId="131">
    <w:name w:val="文档结构图 字符1"/>
    <w:qFormat/>
    <w:uiPriority w:val="99"/>
    <w:rPr>
      <w:rFonts w:ascii="Microsoft YaHei UI" w:eastAsia="Microsoft YaHei UI"/>
      <w:sz w:val="18"/>
      <w:szCs w:val="18"/>
    </w:rPr>
  </w:style>
  <w:style w:type="character" w:customStyle="1" w:styleId="132">
    <w:name w:val="副标题 Char"/>
    <w:qFormat/>
    <w:uiPriority w:val="0"/>
    <w:rPr>
      <w:rFonts w:ascii="Cambria" w:hAnsi="Cambria"/>
      <w:b/>
      <w:bCs/>
      <w:kern w:val="28"/>
      <w:sz w:val="32"/>
      <w:szCs w:val="32"/>
    </w:rPr>
  </w:style>
  <w:style w:type="character" w:customStyle="1" w:styleId="133">
    <w:name w:val="c-icon"/>
    <w:basedOn w:val="44"/>
    <w:qFormat/>
    <w:uiPriority w:val="0"/>
  </w:style>
  <w:style w:type="character" w:customStyle="1" w:styleId="134">
    <w:name w:val="标题 字符2"/>
    <w:basedOn w:val="44"/>
    <w:qFormat/>
    <w:uiPriority w:val="0"/>
    <w:rPr>
      <w:rFonts w:hint="eastAsia" w:ascii="等线 Light" w:hAnsi="等线 Light" w:eastAsia="等线 Light" w:cs="Times New Roman"/>
      <w:b/>
      <w:bCs/>
      <w:sz w:val="32"/>
      <w:szCs w:val="32"/>
    </w:rPr>
  </w:style>
  <w:style w:type="character" w:customStyle="1" w:styleId="135">
    <w:name w:val="纯文本 字符1"/>
    <w:qFormat/>
    <w:uiPriority w:val="99"/>
    <w:rPr>
      <w:rFonts w:ascii="宋体" w:hAnsi="Courier New" w:eastAsia="宋体" w:cs="Courier New"/>
      <w:kern w:val="0"/>
    </w:rPr>
  </w:style>
  <w:style w:type="character" w:customStyle="1" w:styleId="136">
    <w:name w:val="font01"/>
    <w:basedOn w:val="44"/>
    <w:qFormat/>
    <w:uiPriority w:val="0"/>
    <w:rPr>
      <w:rFonts w:hint="eastAsia" w:ascii="宋体" w:hAnsi="宋体" w:eastAsia="宋体" w:cs="宋体"/>
      <w:color w:val="000000"/>
      <w:sz w:val="22"/>
      <w:szCs w:val="22"/>
      <w:u w:val="none"/>
    </w:rPr>
  </w:style>
  <w:style w:type="character" w:customStyle="1" w:styleId="137">
    <w:name w:val="副标题 字符2"/>
    <w:basedOn w:val="44"/>
    <w:qFormat/>
    <w:uiPriority w:val="0"/>
    <w:rPr>
      <w:b/>
      <w:bCs/>
      <w:kern w:val="28"/>
      <w:sz w:val="32"/>
      <w:szCs w:val="32"/>
    </w:rPr>
  </w:style>
  <w:style w:type="character" w:customStyle="1" w:styleId="138">
    <w:name w:val="标题 字符1"/>
    <w:qFormat/>
    <w:uiPriority w:val="10"/>
    <w:rPr>
      <w:rFonts w:ascii="等线 Light" w:hAnsi="等线 Light" w:cs="Times New Roman"/>
      <w:b/>
      <w:bCs/>
      <w:sz w:val="32"/>
      <w:szCs w:val="32"/>
    </w:rPr>
  </w:style>
  <w:style w:type="character" w:customStyle="1" w:styleId="139">
    <w:name w:val="引用 Char"/>
    <w:link w:val="140"/>
    <w:qFormat/>
    <w:uiPriority w:val="0"/>
    <w:rPr>
      <w:i/>
      <w:iCs/>
      <w:color w:val="000000"/>
    </w:rPr>
  </w:style>
  <w:style w:type="paragraph" w:styleId="140">
    <w:name w:val="Quote"/>
    <w:basedOn w:val="1"/>
    <w:next w:val="1"/>
    <w:link w:val="139"/>
    <w:qFormat/>
    <w:uiPriority w:val="0"/>
    <w:pPr>
      <w:autoSpaceDE/>
      <w:autoSpaceDN/>
      <w:adjustRightInd/>
      <w:jc w:val="both"/>
    </w:pPr>
    <w:rPr>
      <w:i/>
      <w:iCs/>
      <w:color w:val="000000"/>
      <w:sz w:val="20"/>
      <w:szCs w:val="20"/>
    </w:rPr>
  </w:style>
  <w:style w:type="character" w:customStyle="1" w:styleId="141">
    <w:name w:val="标题 Char"/>
    <w:qFormat/>
    <w:uiPriority w:val="0"/>
    <w:rPr>
      <w:rFonts w:ascii="Cambria" w:hAnsi="Cambria"/>
      <w:b/>
      <w:bCs/>
      <w:kern w:val="2"/>
      <w:sz w:val="32"/>
      <w:szCs w:val="32"/>
    </w:rPr>
  </w:style>
  <w:style w:type="character" w:customStyle="1" w:styleId="142">
    <w:name w:val="文档结构图 Char2"/>
    <w:qFormat/>
    <w:uiPriority w:val="99"/>
    <w:rPr>
      <w:rFonts w:ascii="宋体"/>
      <w:kern w:val="2"/>
      <w:sz w:val="18"/>
      <w:szCs w:val="18"/>
    </w:rPr>
  </w:style>
  <w:style w:type="character" w:customStyle="1" w:styleId="143">
    <w:name w:val="ca-111"/>
    <w:qFormat/>
    <w:uiPriority w:val="0"/>
    <w:rPr>
      <w:rFonts w:hint="default" w:ascii="Times New Roman" w:hAnsi="Times New Roman" w:cs="Times New Roman"/>
      <w:color w:val="000000"/>
      <w:sz w:val="30"/>
      <w:szCs w:val="30"/>
    </w:rPr>
  </w:style>
  <w:style w:type="character" w:customStyle="1" w:styleId="144">
    <w:name w:val="Char2 Char"/>
    <w:qFormat/>
    <w:uiPriority w:val="0"/>
    <w:rPr>
      <w:rFonts w:ascii="宋体" w:hAnsi="Courier New" w:eastAsia="宋体" w:cs="Courier New"/>
      <w:kern w:val="2"/>
      <w:sz w:val="21"/>
      <w:szCs w:val="21"/>
      <w:lang w:val="en-US" w:eastAsia="zh-CN" w:bidi="ar-SA"/>
    </w:rPr>
  </w:style>
  <w:style w:type="character" w:customStyle="1" w:styleId="145">
    <w:name w:val="正文文本缩进 3 字符2"/>
    <w:basedOn w:val="44"/>
    <w:qFormat/>
    <w:uiPriority w:val="0"/>
    <w:rPr>
      <w:sz w:val="16"/>
      <w:szCs w:val="16"/>
    </w:rPr>
  </w:style>
  <w:style w:type="character" w:customStyle="1" w:styleId="146">
    <w:name w:val="标题 3 字符1"/>
    <w:qFormat/>
    <w:locked/>
    <w:uiPriority w:val="0"/>
    <w:rPr>
      <w:rFonts w:ascii="Times New Roman" w:hAnsi="Times New Roman" w:cs="Times New Roman"/>
      <w:b/>
      <w:bCs/>
      <w:kern w:val="0"/>
      <w:sz w:val="32"/>
      <w:szCs w:val="32"/>
    </w:rPr>
  </w:style>
  <w:style w:type="character" w:customStyle="1" w:styleId="147">
    <w:name w:val="htd01"/>
    <w:qFormat/>
    <w:uiPriority w:val="0"/>
  </w:style>
  <w:style w:type="character" w:customStyle="1" w:styleId="148">
    <w:name w:val="批注文字 Char"/>
    <w:qFormat/>
    <w:uiPriority w:val="99"/>
    <w:rPr>
      <w:sz w:val="24"/>
      <w:szCs w:val="24"/>
    </w:rPr>
  </w:style>
  <w:style w:type="character" w:customStyle="1" w:styleId="149">
    <w:name w:val="正文文本 字符"/>
    <w:basedOn w:val="44"/>
    <w:qFormat/>
    <w:uiPriority w:val="0"/>
  </w:style>
  <w:style w:type="character" w:customStyle="1" w:styleId="150">
    <w:name w:val="纯文本 字符3"/>
    <w:basedOn w:val="44"/>
    <w:qFormat/>
    <w:uiPriority w:val="0"/>
    <w:rPr>
      <w:rFonts w:hint="eastAsia" w:ascii="等线" w:hAnsi="Courier New" w:eastAsia="等线" w:cs="Courier New"/>
    </w:rPr>
  </w:style>
  <w:style w:type="character" w:customStyle="1" w:styleId="151">
    <w:name w:val="Unresolved Mention"/>
    <w:basedOn w:val="44"/>
    <w:qFormat/>
    <w:uiPriority w:val="0"/>
    <w:rPr>
      <w:color w:val="605E5C"/>
      <w:shd w:val="clear" w:color="auto" w:fill="E1DFDD"/>
    </w:rPr>
  </w:style>
  <w:style w:type="character" w:customStyle="1" w:styleId="152">
    <w:name w:val="hover26"/>
    <w:basedOn w:val="44"/>
    <w:qFormat/>
    <w:uiPriority w:val="0"/>
  </w:style>
  <w:style w:type="character" w:customStyle="1" w:styleId="153">
    <w:name w:val="批注主题 Char1"/>
    <w:qFormat/>
    <w:uiPriority w:val="0"/>
    <w:rPr>
      <w:b/>
      <w:bCs/>
      <w:kern w:val="2"/>
      <w:sz w:val="21"/>
      <w:szCs w:val="22"/>
    </w:rPr>
  </w:style>
  <w:style w:type="character" w:customStyle="1" w:styleId="154">
    <w:name w:val="不明显参考1"/>
    <w:qFormat/>
    <w:uiPriority w:val="0"/>
    <w:rPr>
      <w:smallCaps/>
      <w:color w:val="C0504D"/>
      <w:u w:val="single"/>
    </w:rPr>
  </w:style>
  <w:style w:type="paragraph" w:styleId="15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xl25"/>
    <w:basedOn w:val="1"/>
    <w:qFormat/>
    <w:uiPriority w:val="0"/>
    <w:pPr>
      <w:widowControl/>
      <w:autoSpaceDE/>
      <w:autoSpaceDN/>
      <w:adjustRightInd/>
      <w:spacing w:before="100" w:beforeAutospacing="1" w:after="100" w:afterAutospacing="1"/>
      <w:jc w:val="center"/>
      <w:textAlignment w:val="center"/>
    </w:pPr>
    <w:rPr>
      <w:rFonts w:ascii="宋体" w:hAnsi="宋体"/>
    </w:rPr>
  </w:style>
  <w:style w:type="paragraph" w:customStyle="1" w:styleId="157">
    <w:name w:val="p15"/>
    <w:basedOn w:val="1"/>
    <w:qFormat/>
    <w:uiPriority w:val="0"/>
    <w:pPr>
      <w:widowControl/>
      <w:autoSpaceDE/>
      <w:autoSpaceDN/>
      <w:adjustRightInd/>
      <w:ind w:firstLine="420"/>
      <w:jc w:val="both"/>
    </w:pPr>
    <w:rPr>
      <w:rFonts w:cs="宋体"/>
      <w:sz w:val="28"/>
      <w:szCs w:val="21"/>
    </w:rPr>
  </w:style>
  <w:style w:type="paragraph" w:customStyle="1" w:styleId="158">
    <w:name w:val="正文2"/>
    <w:basedOn w:val="1"/>
    <w:qFormat/>
    <w:uiPriority w:val="0"/>
    <w:pPr>
      <w:spacing w:before="156" w:line="360" w:lineRule="auto"/>
      <w:ind w:firstLine="510" w:firstLineChars="200"/>
    </w:pPr>
    <w:rPr>
      <w:rFonts w:ascii="仿宋_GB2312"/>
      <w:b/>
    </w:rPr>
  </w:style>
  <w:style w:type="paragraph" w:customStyle="1" w:styleId="159">
    <w:name w:val="列出段落1"/>
    <w:basedOn w:val="1"/>
    <w:qFormat/>
    <w:uiPriority w:val="0"/>
    <w:pPr>
      <w:autoSpaceDE/>
      <w:autoSpaceDN/>
      <w:adjustRightInd/>
      <w:ind w:firstLine="420" w:firstLineChars="200"/>
      <w:jc w:val="both"/>
    </w:pPr>
    <w:rPr>
      <w:kern w:val="2"/>
      <w:sz w:val="21"/>
      <w:szCs w:val="22"/>
    </w:rPr>
  </w:style>
  <w:style w:type="paragraph" w:customStyle="1" w:styleId="160">
    <w:name w:val="CM24"/>
    <w:basedOn w:val="161"/>
    <w:next w:val="161"/>
    <w:qFormat/>
    <w:uiPriority w:val="0"/>
    <w:pPr>
      <w:spacing w:line="440" w:lineRule="atLeast"/>
    </w:pPr>
    <w:rPr>
      <w:color w:val="auto"/>
    </w:rPr>
  </w:style>
  <w:style w:type="paragraph" w:customStyle="1" w:styleId="16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2">
    <w:name w:val="[Normal]"/>
    <w:qFormat/>
    <w:uiPriority w:val="0"/>
    <w:rPr>
      <w:rFonts w:ascii="宋体" w:hAnsi="宋体" w:eastAsia="宋体" w:cs="Times New Roman"/>
      <w:sz w:val="24"/>
      <w:szCs w:val="22"/>
      <w:lang w:val="zh-CN" w:eastAsia="zh-CN" w:bidi="ar-SA"/>
    </w:rPr>
  </w:style>
  <w:style w:type="paragraph" w:customStyle="1" w:styleId="163">
    <w:name w:val="Table Paragraph"/>
    <w:basedOn w:val="1"/>
    <w:qFormat/>
    <w:uiPriority w:val="1"/>
  </w:style>
  <w:style w:type="paragraph" w:customStyle="1" w:styleId="164">
    <w:name w:val="CM44"/>
    <w:basedOn w:val="161"/>
    <w:next w:val="161"/>
    <w:qFormat/>
    <w:uiPriority w:val="0"/>
    <w:pPr>
      <w:spacing w:line="440" w:lineRule="atLeast"/>
    </w:pPr>
    <w:rPr>
      <w:color w:val="auto"/>
    </w:rPr>
  </w:style>
  <w:style w:type="paragraph" w:customStyle="1" w:styleId="165">
    <w:name w:val="正文，首行缩进:"/>
    <w:basedOn w:val="1"/>
    <w:qFormat/>
    <w:uiPriority w:val="0"/>
    <w:pPr>
      <w:tabs>
        <w:tab w:val="left" w:pos="3376"/>
      </w:tabs>
      <w:spacing w:line="460" w:lineRule="exact"/>
      <w:ind w:firstLine="480" w:firstLineChars="200"/>
    </w:pPr>
    <w:rPr>
      <w:rFonts w:ascii="宋体" w:hAnsi="宋体" w:cs="宋体"/>
      <w:szCs w:val="20"/>
    </w:rPr>
  </w:style>
  <w:style w:type="paragraph" w:customStyle="1" w:styleId="166">
    <w:name w:val="flNote"/>
    <w:basedOn w:val="1"/>
    <w:qFormat/>
    <w:uiPriority w:val="0"/>
    <w:pPr>
      <w:autoSpaceDE/>
      <w:autoSpaceDN/>
      <w:spacing w:before="320" w:after="160" w:line="360" w:lineRule="atLeast"/>
      <w:jc w:val="center"/>
      <w:textAlignment w:val="baseline"/>
    </w:pPr>
    <w:rPr>
      <w:rFonts w:ascii="Arial" w:eastAsia="黑体"/>
      <w:sz w:val="30"/>
      <w:szCs w:val="20"/>
    </w:rPr>
  </w:style>
  <w:style w:type="paragraph" w:customStyle="1" w:styleId="167">
    <w:name w:val="空半行"/>
    <w:basedOn w:val="1"/>
    <w:qFormat/>
    <w:uiPriority w:val="0"/>
    <w:pPr>
      <w:autoSpaceDE/>
      <w:autoSpaceDN/>
      <w:spacing w:line="120" w:lineRule="exact"/>
      <w:jc w:val="both"/>
      <w:textAlignment w:val="baseline"/>
    </w:pPr>
    <w:rPr>
      <w:rFonts w:eastAsia="仿宋_GB2312"/>
      <w:color w:val="FFFFFF"/>
      <w:sz w:val="30"/>
      <w:szCs w:val="20"/>
    </w:rPr>
  </w:style>
  <w:style w:type="paragraph" w:customStyle="1" w:styleId="168">
    <w:name w:val="CM99"/>
    <w:basedOn w:val="161"/>
    <w:next w:val="161"/>
    <w:qFormat/>
    <w:uiPriority w:val="0"/>
    <w:rPr>
      <w:color w:val="auto"/>
    </w:rPr>
  </w:style>
  <w:style w:type="paragraph" w:customStyle="1" w:styleId="16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70">
    <w:name w:val="226_Chinese Text"/>
    <w:qFormat/>
    <w:uiPriority w:val="0"/>
    <w:pPr>
      <w:spacing w:after="120" w:line="336" w:lineRule="auto"/>
      <w:jc w:val="both"/>
    </w:pPr>
    <w:rPr>
      <w:rFonts w:ascii="华文中宋" w:hAnsi="华文中宋" w:eastAsia="华文中宋" w:cs="Times New Roman"/>
      <w:lang w:val="en-GB" w:eastAsia="zh-CN" w:bidi="ar-SA"/>
    </w:rPr>
  </w:style>
  <w:style w:type="paragraph" w:customStyle="1" w:styleId="171">
    <w:name w:val="CM25"/>
    <w:basedOn w:val="161"/>
    <w:next w:val="161"/>
    <w:qFormat/>
    <w:uiPriority w:val="0"/>
    <w:pPr>
      <w:spacing w:line="440" w:lineRule="atLeast"/>
    </w:pPr>
    <w:rPr>
      <w:color w:val="auto"/>
    </w:rPr>
  </w:style>
  <w:style w:type="paragraph" w:customStyle="1" w:styleId="172">
    <w:name w:val="Char Char Char Char Char Char Char Char Char Char Char Char Char Char Char Char Char Char Char Char Char Char Char Char Char Char Char Char Char Char Char Char Char"/>
    <w:basedOn w:val="1"/>
    <w:qFormat/>
    <w:uiPriority w:val="0"/>
    <w:pPr>
      <w:widowControl/>
      <w:autoSpaceDE/>
      <w:autoSpaceDN/>
      <w:adjustRightInd/>
      <w:spacing w:after="160" w:line="240" w:lineRule="exact"/>
    </w:pPr>
    <w:rPr>
      <w:rFonts w:ascii="Verdana" w:hAnsi="Verdana" w:eastAsia="仿宋_GB2312"/>
      <w:szCs w:val="20"/>
      <w:lang w:eastAsia="en-US"/>
    </w:rPr>
  </w:style>
  <w:style w:type="paragraph" w:customStyle="1" w:styleId="173">
    <w:name w:val="Char"/>
    <w:basedOn w:val="1"/>
    <w:qFormat/>
    <w:uiPriority w:val="0"/>
    <w:pPr>
      <w:autoSpaceDE/>
      <w:autoSpaceDN/>
      <w:adjustRightInd/>
      <w:jc w:val="both"/>
    </w:pPr>
    <w:rPr>
      <w:rFonts w:ascii="宋体"/>
      <w:kern w:val="2"/>
      <w:sz w:val="28"/>
      <w:szCs w:val="20"/>
    </w:rPr>
  </w:style>
  <w:style w:type="paragraph" w:customStyle="1" w:styleId="174">
    <w:name w:val="TOC 标题2"/>
    <w:basedOn w:val="2"/>
    <w:next w:val="1"/>
    <w:unhideWhenUsed/>
    <w:qFormat/>
    <w:uiPriority w:val="39"/>
    <w:pPr>
      <w:keepNext/>
      <w:keepLines/>
      <w:widowControl/>
      <w:autoSpaceDE/>
      <w:autoSpaceDN/>
      <w:adjustRightInd/>
      <w:spacing w:before="480" w:line="276" w:lineRule="auto"/>
      <w:ind w:left="0"/>
      <w:jc w:val="left"/>
      <w:outlineLvl w:val="9"/>
    </w:pPr>
    <w:rPr>
      <w:rFonts w:ascii="Cambria" w:hAnsi="Cambria" w:eastAsia="宋体"/>
      <w:b/>
      <w:color w:val="366091"/>
      <w:kern w:val="0"/>
      <w:sz w:val="28"/>
      <w:szCs w:val="28"/>
    </w:rPr>
  </w:style>
  <w:style w:type="paragraph" w:customStyle="1" w:styleId="175">
    <w:name w:val="样式 标题 3 + 段前: 7.8 磅"/>
    <w:basedOn w:val="4"/>
    <w:qFormat/>
    <w:uiPriority w:val="0"/>
    <w:pPr>
      <w:tabs>
        <w:tab w:val="left" w:pos="1280"/>
      </w:tabs>
      <w:autoSpaceDE/>
      <w:autoSpaceDN/>
      <w:adjustRightInd/>
      <w:spacing w:before="156" w:line="360" w:lineRule="auto"/>
      <w:ind w:left="1280" w:hanging="720"/>
      <w:jc w:val="both"/>
    </w:pPr>
    <w:rPr>
      <w:rFonts w:cs="宋体"/>
      <w:b w:val="0"/>
      <w:bCs w:val="0"/>
      <w:kern w:val="2"/>
      <w:sz w:val="24"/>
      <w:szCs w:val="20"/>
    </w:rPr>
  </w:style>
  <w:style w:type="paragraph" w:customStyle="1" w:styleId="176">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177">
    <w:name w:val="样式 标题 2 + Times New Roman 四号 非加粗 段前: 5 磅 段后: 0 磅 行距: 固定值 20..."/>
    <w:basedOn w:val="3"/>
    <w:qFormat/>
    <w:uiPriority w:val="0"/>
    <w:pPr>
      <w:keepNext/>
      <w:keepLines/>
      <w:autoSpaceDE/>
      <w:autoSpaceDN/>
      <w:adjustRightInd/>
      <w:spacing w:before="100" w:line="400" w:lineRule="exact"/>
      <w:ind w:left="0"/>
      <w:jc w:val="both"/>
    </w:pPr>
    <w:rPr>
      <w:rFonts w:ascii="Times New Roman" w:eastAsia="黑体"/>
      <w:sz w:val="28"/>
      <w:szCs w:val="20"/>
    </w:rPr>
  </w:style>
  <w:style w:type="paragraph" w:customStyle="1" w:styleId="178">
    <w:name w:val="p0"/>
    <w:basedOn w:val="1"/>
    <w:qFormat/>
    <w:uiPriority w:val="0"/>
    <w:pPr>
      <w:widowControl/>
      <w:autoSpaceDE/>
      <w:autoSpaceDN/>
      <w:adjustRightInd/>
      <w:jc w:val="both"/>
    </w:pPr>
    <w:rPr>
      <w:sz w:val="32"/>
      <w:szCs w:val="32"/>
    </w:rPr>
  </w:style>
  <w:style w:type="paragraph" w:customStyle="1" w:styleId="179">
    <w:name w:val="pa-4"/>
    <w:basedOn w:val="1"/>
    <w:qFormat/>
    <w:uiPriority w:val="0"/>
    <w:pPr>
      <w:widowControl/>
      <w:autoSpaceDE/>
      <w:autoSpaceDN/>
      <w:adjustRightInd/>
      <w:spacing w:line="360" w:lineRule="atLeast"/>
      <w:jc w:val="center"/>
    </w:pPr>
    <w:rPr>
      <w:rFonts w:ascii="宋体" w:hAnsi="宋体" w:cs="宋体"/>
    </w:rPr>
  </w:style>
  <w:style w:type="paragraph" w:customStyle="1" w:styleId="180">
    <w:name w:val="1"/>
    <w:basedOn w:val="1"/>
    <w:qFormat/>
    <w:uiPriority w:val="0"/>
    <w:pPr>
      <w:autoSpaceDE/>
      <w:autoSpaceDN/>
      <w:adjustRightInd/>
      <w:spacing w:line="480" w:lineRule="exact"/>
      <w:ind w:firstLine="480"/>
      <w:jc w:val="both"/>
    </w:pPr>
    <w:rPr>
      <w:rFonts w:ascii="宋体"/>
      <w:kern w:val="2"/>
      <w:szCs w:val="20"/>
    </w:rPr>
  </w:style>
  <w:style w:type="paragraph" w:customStyle="1" w:styleId="181">
    <w:name w:val="Blockquote"/>
    <w:basedOn w:val="1"/>
    <w:qFormat/>
    <w:uiPriority w:val="0"/>
    <w:pPr>
      <w:spacing w:before="100" w:after="100"/>
      <w:ind w:left="360" w:right="360"/>
    </w:pPr>
    <w:rPr>
      <w:rFonts w:eastAsia="仿宋_GB2312"/>
      <w:szCs w:val="20"/>
    </w:rPr>
  </w:style>
  <w:style w:type="paragraph" w:customStyle="1" w:styleId="182">
    <w:name w:val="样式 标题 3 + (中文) 黑体 小四 非加粗 段前: 7.8 磅 段后: 0 磅 行距: 固定值 20 磅"/>
    <w:basedOn w:val="4"/>
    <w:qFormat/>
    <w:uiPriority w:val="0"/>
    <w:pPr>
      <w:keepNext/>
      <w:keepLines/>
      <w:autoSpaceDE/>
      <w:autoSpaceDN/>
      <w:adjustRightInd/>
      <w:spacing w:line="400" w:lineRule="exact"/>
      <w:ind w:left="0"/>
      <w:jc w:val="both"/>
    </w:pPr>
    <w:rPr>
      <w:rFonts w:eastAsia="黑体" w:cs="宋体"/>
      <w:b w:val="0"/>
      <w:bCs w:val="0"/>
      <w:kern w:val="2"/>
      <w:sz w:val="24"/>
      <w:szCs w:val="20"/>
    </w:rPr>
  </w:style>
  <w:style w:type="paragraph" w:customStyle="1" w:styleId="183">
    <w:name w:val="Char Char Char Char"/>
    <w:basedOn w:val="1"/>
    <w:qFormat/>
    <w:uiPriority w:val="0"/>
    <w:pPr>
      <w:widowControl/>
      <w:autoSpaceDE/>
      <w:autoSpaceDN/>
      <w:adjustRightInd/>
      <w:spacing w:after="160" w:line="240" w:lineRule="exact"/>
    </w:pPr>
    <w:rPr>
      <w:rFonts w:ascii="Arial" w:hAnsi="Arial" w:eastAsia="Times New Roman" w:cs="Verdana"/>
      <w:b/>
      <w:szCs w:val="20"/>
      <w:lang w:eastAsia="en-US"/>
    </w:rPr>
  </w:style>
  <w:style w:type="paragraph" w:customStyle="1" w:styleId="184">
    <w:name w:val="TOC 标题1"/>
    <w:basedOn w:val="2"/>
    <w:next w:val="1"/>
    <w:qFormat/>
    <w:uiPriority w:val="0"/>
    <w:pPr>
      <w:keepNext/>
      <w:keepLines/>
      <w:widowControl/>
      <w:autoSpaceDE/>
      <w:autoSpaceDN/>
      <w:adjustRightInd/>
      <w:spacing w:before="240" w:line="259" w:lineRule="auto"/>
      <w:ind w:left="0"/>
      <w:outlineLvl w:val="9"/>
    </w:pPr>
    <w:rPr>
      <w:rFonts w:ascii="等线 Light" w:hAnsi="等线 Light" w:eastAsia="等线 Light"/>
      <w:b/>
      <w:bCs w:val="0"/>
      <w:color w:val="2F5496"/>
      <w:sz w:val="32"/>
      <w:szCs w:val="32"/>
    </w:rPr>
  </w:style>
  <w:style w:type="paragraph" w:customStyle="1" w:styleId="185">
    <w:name w:val="修订1"/>
    <w:unhideWhenUsed/>
    <w:qFormat/>
    <w:uiPriority w:val="0"/>
    <w:rPr>
      <w:rFonts w:ascii="Calibri" w:hAnsi="Calibri" w:eastAsia="宋体" w:cs="Times New Roman"/>
      <w:sz w:val="24"/>
      <w:szCs w:val="24"/>
      <w:lang w:val="en-US" w:eastAsia="zh-CN" w:bidi="ar-SA"/>
    </w:rPr>
  </w:style>
  <w:style w:type="paragraph" w:customStyle="1" w:styleId="186">
    <w:name w:val="默认段落字体 Para Char"/>
    <w:basedOn w:val="1"/>
    <w:qFormat/>
    <w:uiPriority w:val="0"/>
    <w:pPr>
      <w:tabs>
        <w:tab w:val="left" w:pos="1080"/>
      </w:tabs>
      <w:autoSpaceDE/>
      <w:autoSpaceDN/>
      <w:adjustRightInd/>
      <w:ind w:left="1080" w:hanging="360"/>
      <w:jc w:val="both"/>
    </w:pPr>
    <w:rPr>
      <w:kern w:val="2"/>
      <w:sz w:val="21"/>
    </w:rPr>
  </w:style>
  <w:style w:type="paragraph" w:customStyle="1" w:styleId="187">
    <w:name w:val="Char Char Char"/>
    <w:basedOn w:val="1"/>
    <w:qFormat/>
    <w:uiPriority w:val="0"/>
    <w:rPr>
      <w:rFonts w:ascii="Tahoma" w:hAnsi="Tahoma"/>
      <w:szCs w:val="20"/>
    </w:rPr>
  </w:style>
  <w:style w:type="table" w:customStyle="1" w:styleId="188">
    <w:name w:val="网格型2"/>
    <w:basedOn w:val="42"/>
    <w:qFormat/>
    <w:uiPriority w:val="0"/>
    <w:pPr>
      <w:widowControl w:val="0"/>
      <w:jc w:val="both"/>
    </w:pPr>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89">
    <w:name w:val="网格型1"/>
    <w:basedOn w:val="42"/>
    <w:qFormat/>
    <w:uiPriority w:val="0"/>
    <w:pPr>
      <w:widowControl w:val="0"/>
      <w:jc w:val="both"/>
    </w:pPr>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0">
    <w:name w:val="Table Text"/>
    <w:basedOn w:val="1"/>
    <w:semiHidden/>
    <w:qFormat/>
    <w:uiPriority w:val="0"/>
    <w:rPr>
      <w:rFonts w:ascii="宋体" w:hAnsi="宋体" w:eastAsia="宋体" w:cs="宋体"/>
      <w:sz w:val="20"/>
      <w:szCs w:val="20"/>
      <w:lang w:val="en-US" w:eastAsia="en-US" w:bidi="ar-SA"/>
    </w:rPr>
  </w:style>
  <w:style w:type="table" w:customStyle="1" w:styleId="191">
    <w:name w:val="Table Normal"/>
    <w:semiHidden/>
    <w:unhideWhenUsed/>
    <w:qFormat/>
    <w:uiPriority w:val="0"/>
    <w:tblPr>
      <w:tblCellMar>
        <w:top w:w="0" w:type="dxa"/>
        <w:left w:w="0" w:type="dxa"/>
        <w:bottom w:w="0" w:type="dxa"/>
        <w:right w:w="0" w:type="dxa"/>
      </w:tblCellMar>
    </w:tblPr>
  </w:style>
  <w:style w:type="paragraph" w:customStyle="1" w:styleId="192">
    <w:name w:val="样式 正文首行缩进 + 首行缩进:  1 字符"/>
    <w:basedOn w:val="1"/>
    <w:next w:val="29"/>
    <w:qFormat/>
    <w:uiPriority w:val="0"/>
    <w:pPr>
      <w:autoSpaceDE/>
      <w:autoSpaceDN/>
      <w:adjustRightInd/>
      <w:spacing w:line="360" w:lineRule="auto"/>
      <w:ind w:firstLine="100"/>
      <w:jc w:val="both"/>
      <w:textAlignment w:val="baseline"/>
    </w:pPr>
    <w:rPr>
      <w:kern w:val="2"/>
      <w:sz w:val="21"/>
    </w:rPr>
  </w:style>
  <w:style w:type="paragraph" w:customStyle="1" w:styleId="193">
    <w:name w:val="_Style 6"/>
    <w:basedOn w:val="2"/>
    <w:next w:val="1"/>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wmf"/><Relationship Id="rId16" Type="http://schemas.openxmlformats.org/officeDocument/2006/relationships/oleObject" Target="embeddings/oleObject5.bin"/><Relationship Id="rId15" Type="http://schemas.openxmlformats.org/officeDocument/2006/relationships/image" Target="media/image4.wmf"/><Relationship Id="rId14" Type="http://schemas.openxmlformats.org/officeDocument/2006/relationships/oleObject" Target="embeddings/oleObject4.bin"/><Relationship Id="rId13" Type="http://schemas.openxmlformats.org/officeDocument/2006/relationships/image" Target="media/image3.wmf"/><Relationship Id="rId12" Type="http://schemas.openxmlformats.org/officeDocument/2006/relationships/oleObject" Target="embeddings/oleObject3.bin"/><Relationship Id="rId11" Type="http://schemas.openxmlformats.org/officeDocument/2006/relationships/image" Target="media/image2.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115</Pages>
  <Words>82430</Words>
  <Characters>86263</Characters>
  <Lines>695</Lines>
  <Paragraphs>195</Paragraphs>
  <TotalTime>102</TotalTime>
  <ScaleCrop>false</ScaleCrop>
  <LinksUpToDate>false</LinksUpToDate>
  <CharactersWithSpaces>91829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2023-09-06T02:58:00Z</dcterms:created>
  <dc:creator>（招标办）周建平</dc:creator>
  <cp:lastModifiedBy>Admin</cp:lastModifiedBy>
  <cp:lastPrinted>2024-04-30T03:17:00Z</cp:lastPrinted>
  <dcterms:modified xsi:type="dcterms:W3CDTF">2024-06-06T02:49:11Z</dcterms:modified>
  <dc:title>中华人民共和国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2052-11.1.0.11744</vt:lpwstr>
  </property>
  <property fmtid="{D5CDD505-2E9C-101B-9397-08002B2CF9AE}" pid="4" name="ICV">
    <vt:lpwstr>64D85287D70D447FA4707EFC46733E1D</vt:lpwstr>
  </property>
</Properties>
</file>