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420" w:hanging="420"/>
        <w:jc w:val="center"/>
        <w:rPr>
          <w:rFonts w:hint="eastAsia" w:ascii="宋体" w:hAnsi="宋体"/>
          <w:b/>
          <w:sz w:val="32"/>
          <w:lang w:val="en-US" w:eastAsia="zh-CN"/>
        </w:rPr>
      </w:pPr>
      <w:r>
        <w:rPr>
          <w:rFonts w:hint="eastAsia" w:ascii="宋体" w:hAnsi="宋体"/>
          <w:b/>
          <w:sz w:val="32"/>
        </w:rPr>
        <w:object>
          <v:shape id="_x0000_i1025" o:spt="75" type="#_x0000_t75" style="height:30.75pt;width:42pt;" o:ole="t" filled="f" o:preferrelative="t" stroked="f" coordsize="21600,21600">
            <v:path/>
            <v:fill on="f" focussize="0,0"/>
            <v:stroke on="f"/>
            <v:imagedata r:id="rId5" o:title=""/>
            <o:lock v:ext="edit" aspectratio="t"/>
            <w10:wrap type="none"/>
            <w10:anchorlock/>
          </v:shape>
          <o:OLEObject Type="Embed" ProgID="Excel.Sheet.12" ShapeID="_x0000_i1025" DrawAspect="Content" ObjectID="_1468075725" r:id="rId4">
            <o:LockedField>false</o:LockedField>
          </o:OLEObject>
        </w:object>
      </w:r>
      <w:r>
        <w:rPr>
          <w:rFonts w:hint="eastAsia" w:ascii="宋体" w:hAnsi="宋体"/>
          <w:b/>
          <w:sz w:val="32"/>
        </w:rPr>
        <w:t>桐庐县人民法院富春江科技城人民法庭提升改造项目</w:t>
      </w:r>
      <w:r>
        <w:rPr>
          <w:rFonts w:hint="eastAsia" w:ascii="宋体" w:hAnsi="宋体"/>
          <w:b/>
          <w:sz w:val="32"/>
          <w:lang w:val="en-US" w:eastAsia="zh-CN"/>
        </w:rPr>
        <w:t>编制说明</w:t>
      </w:r>
    </w:p>
    <w:p>
      <w:pPr>
        <w:spacing w:line="360" w:lineRule="auto"/>
        <w:ind w:left="420" w:hanging="420"/>
        <w:rPr>
          <w:rFonts w:ascii="宋体" w:hAnsi="宋体"/>
          <w:b/>
          <w:color w:val="FF0000"/>
          <w:sz w:val="24"/>
        </w:rPr>
      </w:pPr>
      <w:r>
        <w:rPr>
          <w:rFonts w:hint="eastAsia" w:ascii="宋体" w:hAnsi="宋体"/>
        </w:rPr>
        <w:t>一.</w:t>
      </w:r>
      <w:r>
        <w:rPr>
          <w:rFonts w:hint="eastAsia" w:ascii="宋体" w:hAnsi="宋体"/>
        </w:rPr>
        <w:tab/>
      </w:r>
      <w:r>
        <w:rPr>
          <w:rFonts w:hint="eastAsia" w:ascii="宋体" w:hAnsi="宋体"/>
          <w:b/>
          <w:color w:val="FF0000"/>
          <w:sz w:val="24"/>
        </w:rPr>
        <w:t>工程概况</w:t>
      </w:r>
    </w:p>
    <w:p>
      <w:pPr>
        <w:spacing w:line="360" w:lineRule="auto"/>
        <w:ind w:left="1140" w:hanging="420"/>
        <w:rPr>
          <w:rFonts w:hint="eastAsia" w:ascii="新宋体" w:hAnsi="新宋体" w:eastAsia="新宋体"/>
          <w:szCs w:val="22"/>
          <w:lang w:val="en-US" w:eastAsia="zh-CN"/>
        </w:rPr>
      </w:pPr>
      <w:r>
        <w:rPr>
          <w:rFonts w:hint="eastAsia" w:ascii="新宋体" w:hAnsi="新宋体" w:eastAsia="新宋体"/>
        </w:rPr>
        <w:t>1.</w:t>
      </w:r>
      <w:r>
        <w:rPr>
          <w:rFonts w:hint="eastAsia" w:ascii="新宋体" w:hAnsi="新宋体" w:eastAsia="新宋体"/>
        </w:rPr>
        <w:tab/>
      </w:r>
      <w:r>
        <w:rPr>
          <w:rFonts w:hint="eastAsia" w:ascii="宋体" w:hAnsi="宋体"/>
          <w:b/>
          <w:sz w:val="24"/>
        </w:rPr>
        <w:t>工程地址：</w:t>
      </w:r>
      <w:r>
        <w:rPr>
          <w:rFonts w:hint="eastAsia" w:ascii="新宋体" w:hAnsi="新宋体" w:eastAsia="新宋体"/>
          <w:szCs w:val="22"/>
        </w:rPr>
        <w:t>桐庐县</w:t>
      </w:r>
      <w:r>
        <w:rPr>
          <w:rFonts w:hint="eastAsia" w:ascii="新宋体" w:hAnsi="新宋体" w:eastAsia="新宋体"/>
          <w:szCs w:val="22"/>
          <w:lang w:val="en-US" w:eastAsia="zh-CN"/>
        </w:rPr>
        <w:t>开发区</w:t>
      </w:r>
    </w:p>
    <w:p>
      <w:pPr>
        <w:spacing w:line="360" w:lineRule="auto"/>
        <w:ind w:left="1140" w:hanging="420"/>
        <w:rPr>
          <w:rFonts w:ascii="宋体" w:hAnsi="宋体"/>
        </w:rPr>
      </w:pPr>
      <w:r>
        <w:rPr>
          <w:rFonts w:hint="eastAsia" w:ascii="宋体" w:hAnsi="宋体"/>
          <w:bCs/>
          <w:sz w:val="24"/>
          <w:szCs w:val="22"/>
        </w:rPr>
        <w:t xml:space="preserve">2.  </w:t>
      </w:r>
      <w:r>
        <w:rPr>
          <w:rFonts w:hint="eastAsia" w:ascii="宋体" w:hAnsi="宋体"/>
          <w:b/>
          <w:sz w:val="24"/>
          <w:szCs w:val="22"/>
        </w:rPr>
        <w:t>工程特征：</w:t>
      </w:r>
      <w:r>
        <w:rPr>
          <w:rFonts w:hint="eastAsia" w:ascii="宋体" w:hAnsi="宋体" w:cs="宋体"/>
          <w:sz w:val="22"/>
          <w:szCs w:val="22"/>
          <w:highlight w:val="none"/>
        </w:rPr>
        <w:t>本工程为室内装修工程，主要内容为室内地面、墙面、天棚精装修、室内安装等内容；</w:t>
      </w:r>
    </w:p>
    <w:p>
      <w:pPr>
        <w:spacing w:line="360" w:lineRule="auto"/>
        <w:ind w:left="1140" w:hanging="420"/>
        <w:rPr>
          <w:rFonts w:ascii="宋体" w:hAnsi="宋体"/>
          <w:sz w:val="24"/>
        </w:rPr>
      </w:pPr>
      <w:r>
        <w:rPr>
          <w:rFonts w:hint="eastAsia" w:ascii="新宋体" w:hAnsi="新宋体" w:eastAsia="新宋体"/>
        </w:rPr>
        <w:t>3.</w:t>
      </w:r>
      <w:r>
        <w:rPr>
          <w:rFonts w:hint="eastAsia" w:ascii="新宋体" w:hAnsi="新宋体" w:eastAsia="新宋体"/>
        </w:rPr>
        <w:tab/>
      </w:r>
      <w:r>
        <w:rPr>
          <w:rFonts w:hint="eastAsia" w:ascii="宋体" w:hAnsi="宋体"/>
          <w:b/>
          <w:sz w:val="24"/>
        </w:rPr>
        <w:t>计划工期：</w:t>
      </w:r>
      <w:r>
        <w:rPr>
          <w:rFonts w:hint="eastAsia" w:ascii="宋体" w:hAnsi="宋体"/>
        </w:rPr>
        <w:t>详见招标文件；</w:t>
      </w:r>
    </w:p>
    <w:p>
      <w:pPr>
        <w:spacing w:line="360" w:lineRule="auto"/>
        <w:ind w:left="1140" w:hanging="420"/>
        <w:rPr>
          <w:rFonts w:ascii="宋体" w:hAnsi="宋体"/>
          <w:sz w:val="24"/>
        </w:rPr>
      </w:pPr>
      <w:r>
        <w:rPr>
          <w:rFonts w:hint="eastAsia" w:ascii="新宋体" w:hAnsi="新宋体" w:eastAsia="新宋体"/>
        </w:rPr>
        <w:t>4.</w:t>
      </w:r>
      <w:r>
        <w:rPr>
          <w:rFonts w:hint="eastAsia" w:ascii="新宋体" w:hAnsi="新宋体" w:eastAsia="新宋体"/>
        </w:rPr>
        <w:tab/>
      </w:r>
      <w:r>
        <w:rPr>
          <w:rFonts w:hint="eastAsia" w:ascii="宋体" w:hAnsi="宋体"/>
          <w:b/>
          <w:sz w:val="24"/>
        </w:rPr>
        <w:t>施工现场情况：</w:t>
      </w:r>
      <w:r>
        <w:rPr>
          <w:rFonts w:hint="eastAsia" w:ascii="宋体" w:hAnsi="宋体"/>
        </w:rPr>
        <w:t>已完成三通一平；</w:t>
      </w:r>
    </w:p>
    <w:p>
      <w:pPr>
        <w:spacing w:line="360" w:lineRule="auto"/>
        <w:ind w:left="1140" w:hanging="420"/>
        <w:rPr>
          <w:rFonts w:ascii="宋体" w:hAnsi="宋体"/>
          <w:sz w:val="24"/>
        </w:rPr>
      </w:pPr>
      <w:r>
        <w:rPr>
          <w:rFonts w:hint="eastAsia" w:ascii="新宋体" w:hAnsi="新宋体" w:eastAsia="新宋体"/>
        </w:rPr>
        <w:t>5.</w:t>
      </w:r>
      <w:r>
        <w:rPr>
          <w:rFonts w:hint="eastAsia" w:ascii="新宋体" w:hAnsi="新宋体" w:eastAsia="新宋体"/>
        </w:rPr>
        <w:tab/>
      </w:r>
      <w:r>
        <w:rPr>
          <w:rFonts w:hint="eastAsia" w:ascii="宋体" w:hAnsi="宋体"/>
          <w:b/>
          <w:sz w:val="24"/>
        </w:rPr>
        <w:t>自然地理条件：</w:t>
      </w:r>
      <w:r>
        <w:rPr>
          <w:rFonts w:hint="eastAsia" w:ascii="宋体" w:hAnsi="宋体"/>
        </w:rPr>
        <w:t>施工区域内降水、温度等正常，地势较为平坦，施工区域内无名贵、古树木等；</w:t>
      </w:r>
    </w:p>
    <w:p>
      <w:pPr>
        <w:spacing w:line="360" w:lineRule="auto"/>
        <w:ind w:left="1140" w:hanging="420"/>
        <w:rPr>
          <w:rFonts w:ascii="宋体" w:hAnsi="宋体"/>
          <w:sz w:val="24"/>
        </w:rPr>
      </w:pPr>
      <w:r>
        <w:rPr>
          <w:rFonts w:hint="eastAsia" w:ascii="新宋体" w:hAnsi="新宋体" w:eastAsia="新宋体"/>
        </w:rPr>
        <w:t>6.</w:t>
      </w:r>
      <w:r>
        <w:rPr>
          <w:rFonts w:hint="eastAsia" w:ascii="新宋体" w:hAnsi="新宋体" w:eastAsia="新宋体"/>
        </w:rPr>
        <w:tab/>
      </w:r>
      <w:r>
        <w:rPr>
          <w:rFonts w:hint="eastAsia" w:ascii="宋体" w:hAnsi="宋体"/>
          <w:b/>
          <w:sz w:val="24"/>
        </w:rPr>
        <w:t>环境保护要求：</w:t>
      </w:r>
      <w:r>
        <w:rPr>
          <w:rFonts w:hint="eastAsia" w:ascii="宋体" w:hAnsi="宋体"/>
        </w:rPr>
        <w:t>符合国家、省、市及工程所在地有关绿色施工，环境保护等要求。</w:t>
      </w:r>
    </w:p>
    <w:p>
      <w:pPr>
        <w:spacing w:line="360" w:lineRule="auto"/>
        <w:ind w:left="420" w:hanging="420"/>
        <w:rPr>
          <w:rFonts w:ascii="宋体" w:hAnsi="宋体"/>
          <w:b/>
          <w:color w:val="FF0000"/>
          <w:sz w:val="24"/>
        </w:rPr>
      </w:pPr>
      <w:r>
        <w:rPr>
          <w:rFonts w:hint="eastAsia" w:ascii="宋体" w:hAnsi="宋体"/>
        </w:rPr>
        <w:t>二.</w:t>
      </w:r>
      <w:r>
        <w:rPr>
          <w:rFonts w:hint="eastAsia" w:ascii="宋体" w:hAnsi="宋体"/>
        </w:rPr>
        <w:tab/>
      </w:r>
      <w:r>
        <w:rPr>
          <w:rFonts w:hint="eastAsia" w:ascii="宋体" w:hAnsi="宋体"/>
          <w:b/>
          <w:color w:val="FF0000"/>
          <w:sz w:val="24"/>
        </w:rPr>
        <w:t>工程招标及分包范围：</w:t>
      </w:r>
    </w:p>
    <w:p>
      <w:pPr>
        <w:spacing w:line="360" w:lineRule="auto"/>
        <w:ind w:left="420"/>
        <w:rPr>
          <w:rFonts w:ascii="宋体" w:hAnsi="宋体"/>
        </w:rPr>
      </w:pPr>
      <w:r>
        <w:rPr>
          <w:rFonts w:hint="eastAsia" w:ascii="宋体" w:hAnsi="宋体"/>
        </w:rPr>
        <w:t>（一）.招标范围：</w:t>
      </w:r>
    </w:p>
    <w:p>
      <w:pPr>
        <w:spacing w:line="360" w:lineRule="auto"/>
        <w:ind w:left="420"/>
        <w:rPr>
          <w:rFonts w:ascii="宋体" w:hAnsi="宋体"/>
        </w:rPr>
      </w:pPr>
      <w:r>
        <w:rPr>
          <w:rFonts w:hint="eastAsia" w:ascii="宋体" w:hAnsi="宋体"/>
        </w:rPr>
        <w:t xml:space="preserve">   1.施工图范围内所有工程量（除本编制说明中注明的除外）;</w:t>
      </w:r>
    </w:p>
    <w:p>
      <w:pPr>
        <w:spacing w:line="360" w:lineRule="auto"/>
        <w:ind w:left="420"/>
        <w:rPr>
          <w:rFonts w:ascii="宋体" w:hAnsi="宋体"/>
        </w:rPr>
      </w:pPr>
      <w:r>
        <w:rPr>
          <w:rFonts w:hint="eastAsia" w:ascii="宋体" w:hAnsi="宋体"/>
        </w:rPr>
        <w:t>（二）.分包范围：</w:t>
      </w:r>
    </w:p>
    <w:p>
      <w:pPr>
        <w:spacing w:line="360" w:lineRule="auto"/>
        <w:ind w:left="420"/>
        <w:rPr>
          <w:rFonts w:ascii="宋体" w:hAnsi="宋体"/>
        </w:rPr>
      </w:pPr>
      <w:r>
        <w:rPr>
          <w:rFonts w:hint="eastAsia" w:ascii="宋体" w:hAnsi="宋体"/>
        </w:rPr>
        <w:t xml:space="preserve">   1.无分包内容。</w:t>
      </w:r>
    </w:p>
    <w:p>
      <w:pPr>
        <w:spacing w:line="360" w:lineRule="auto"/>
        <w:ind w:left="420" w:hanging="420"/>
        <w:rPr>
          <w:rFonts w:ascii="宋体" w:hAnsi="宋体"/>
          <w:b/>
          <w:color w:val="FF0000"/>
          <w:sz w:val="24"/>
        </w:rPr>
      </w:pPr>
      <w:r>
        <w:rPr>
          <w:rFonts w:hint="eastAsia" w:ascii="宋体" w:hAnsi="宋体"/>
        </w:rPr>
        <w:t>三.</w:t>
      </w:r>
      <w:r>
        <w:rPr>
          <w:rFonts w:hint="eastAsia" w:ascii="宋体" w:hAnsi="宋体"/>
        </w:rPr>
        <w:tab/>
      </w:r>
      <w:r>
        <w:rPr>
          <w:rFonts w:hint="eastAsia" w:ascii="宋体" w:hAnsi="宋体"/>
          <w:b/>
          <w:color w:val="FF0000"/>
          <w:sz w:val="24"/>
          <w:lang w:val="en-US" w:eastAsia="zh-CN"/>
        </w:rPr>
        <w:t>控制价</w:t>
      </w:r>
      <w:r>
        <w:rPr>
          <w:rFonts w:hint="eastAsia" w:ascii="宋体" w:hAnsi="宋体"/>
          <w:b/>
          <w:color w:val="FF0000"/>
          <w:sz w:val="24"/>
        </w:rPr>
        <w:t>编制依据：</w:t>
      </w:r>
    </w:p>
    <w:p>
      <w:pPr>
        <w:spacing w:line="360" w:lineRule="auto"/>
        <w:ind w:left="420" w:leftChars="200" w:firstLine="210" w:firstLineChars="100"/>
        <w:rPr>
          <w:rFonts w:ascii="宋体" w:hAnsi="宋体"/>
        </w:rPr>
      </w:pPr>
      <w:r>
        <w:rPr>
          <w:rFonts w:hint="eastAsia" w:ascii="新宋体" w:hAnsi="新宋体" w:eastAsia="新宋体"/>
        </w:rPr>
        <w:t>1.</w:t>
      </w:r>
      <w:r>
        <w:rPr>
          <w:rFonts w:hint="eastAsia" w:ascii="新宋体" w:hAnsi="新宋体" w:eastAsia="新宋体"/>
        </w:rPr>
        <w:tab/>
      </w:r>
      <w:r>
        <w:rPr>
          <w:rFonts w:hint="eastAsia" w:ascii="宋体" w:hAnsi="宋体"/>
        </w:rPr>
        <w:t>《建设工程工程量清单计价规范（GB50500－2013）》；</w:t>
      </w:r>
    </w:p>
    <w:p>
      <w:pPr>
        <w:spacing w:line="360" w:lineRule="auto"/>
        <w:ind w:left="420" w:leftChars="200" w:firstLine="210" w:firstLineChars="100"/>
        <w:rPr>
          <w:rFonts w:ascii="宋体" w:hAnsi="宋体"/>
        </w:rPr>
      </w:pPr>
      <w:r>
        <w:rPr>
          <w:rFonts w:hint="eastAsia" w:ascii="新宋体" w:hAnsi="新宋体" w:eastAsia="新宋体"/>
        </w:rPr>
        <w:t>2.</w:t>
      </w:r>
      <w:r>
        <w:rPr>
          <w:rFonts w:hint="eastAsia" w:ascii="新宋体" w:hAnsi="新宋体" w:eastAsia="新宋体"/>
        </w:rPr>
        <w:tab/>
      </w:r>
      <w:r>
        <w:rPr>
          <w:rFonts w:hint="eastAsia" w:ascii="宋体" w:hAnsi="宋体"/>
        </w:rPr>
        <w:t>《建设工程工程量计算规范（2013）浙江省补充规定》（浙建站计（2013）63号文件）；</w:t>
      </w:r>
    </w:p>
    <w:p>
      <w:pPr>
        <w:spacing w:line="360" w:lineRule="auto"/>
        <w:ind w:left="420" w:leftChars="200" w:firstLine="210" w:firstLineChars="100"/>
        <w:rPr>
          <w:rFonts w:ascii="宋体" w:hAnsi="宋体"/>
        </w:rPr>
      </w:pPr>
      <w:r>
        <w:rPr>
          <w:rFonts w:hint="eastAsia" w:ascii="新宋体" w:hAnsi="新宋体" w:eastAsia="新宋体"/>
        </w:rPr>
        <w:t>3.</w:t>
      </w:r>
      <w:r>
        <w:rPr>
          <w:rFonts w:hint="eastAsia" w:ascii="新宋体" w:hAnsi="新宋体" w:eastAsia="新宋体"/>
        </w:rPr>
        <w:tab/>
      </w:r>
      <w:r>
        <w:rPr>
          <w:rFonts w:hint="eastAsia" w:ascii="宋体" w:hAnsi="宋体"/>
        </w:rPr>
        <w:t>《建设工程工程量计算规范（2013）浙江省补充规定（二）》（浙建站计（2014）31号文件）；</w:t>
      </w:r>
    </w:p>
    <w:p>
      <w:pPr>
        <w:spacing w:line="360" w:lineRule="auto"/>
        <w:ind w:left="420" w:leftChars="200" w:firstLine="210" w:firstLineChars="100"/>
        <w:rPr>
          <w:rFonts w:ascii="宋体" w:hAnsi="宋体"/>
        </w:rPr>
      </w:pPr>
      <w:r>
        <w:rPr>
          <w:rFonts w:hint="eastAsia" w:ascii="新宋体" w:hAnsi="新宋体" w:eastAsia="新宋体"/>
        </w:rPr>
        <w:t>4.</w:t>
      </w:r>
      <w:r>
        <w:rPr>
          <w:rFonts w:hint="eastAsia" w:ascii="新宋体" w:hAnsi="新宋体" w:eastAsia="新宋体"/>
        </w:rPr>
        <w:tab/>
      </w:r>
      <w:r>
        <w:rPr>
          <w:rFonts w:hint="eastAsia" w:ascii="宋体" w:hAnsi="宋体"/>
        </w:rPr>
        <w:t>《关于印发&lt;杭州市建设工程工程量清单计价实施细则（2018修订）&gt;的通知》，（杭建市发 [2018]578号）；</w:t>
      </w:r>
    </w:p>
    <w:p>
      <w:pPr>
        <w:spacing w:line="360" w:lineRule="auto"/>
        <w:ind w:left="420" w:leftChars="200" w:firstLine="210" w:firstLineChars="100"/>
        <w:rPr>
          <w:rFonts w:ascii="Times New Roman" w:hAnsi="Times New Roman" w:eastAsia="Times New Roman"/>
        </w:rPr>
      </w:pPr>
      <w:r>
        <w:rPr>
          <w:rFonts w:hint="eastAsia" w:ascii="新宋体" w:hAnsi="新宋体" w:eastAsia="新宋体"/>
        </w:rPr>
        <w:t>5.</w:t>
      </w:r>
      <w:r>
        <w:rPr>
          <w:rFonts w:hint="eastAsia" w:ascii="新宋体" w:hAnsi="新宋体" w:eastAsia="新宋体"/>
        </w:rPr>
        <w:tab/>
      </w:r>
      <w:r>
        <w:rPr>
          <w:rFonts w:hint="eastAsia" w:ascii="宋体" w:hAnsi="宋体"/>
        </w:rPr>
        <w:t>《浙江省建设工程计价规则2018版》、</w:t>
      </w:r>
      <w:r>
        <w:rPr>
          <w:rFonts w:hint="eastAsia" w:ascii="宋体" w:hAnsi="宋体"/>
          <w:color w:val="000000"/>
        </w:rPr>
        <w:t>《浙江省市政工程预算定额2018版》、《浙江省园林绿化及仿古建筑工程预算定额2018版》、《浙江省房屋建筑与装饰工程预算定额2018版》、《浙江省通用安装工程预算定额2018版》、《浙江省建设工程施工机械台班费用定额2018版》、《浙江省建筑安装材料基期价格2018版》、《浙江省城市轨道交通工程预算定额2018版》；</w:t>
      </w:r>
    </w:p>
    <w:p>
      <w:pPr>
        <w:keepNext/>
        <w:keepLines/>
        <w:spacing w:line="360" w:lineRule="auto"/>
        <w:ind w:left="1140" w:hanging="420"/>
        <w:rPr>
          <w:rFonts w:ascii="宋体" w:hAnsi="宋体"/>
        </w:rPr>
      </w:pPr>
      <w:r>
        <w:rPr>
          <w:rFonts w:hint="eastAsia" w:ascii="新宋体" w:hAnsi="新宋体" w:eastAsia="新宋体"/>
        </w:rPr>
        <w:t>6.</w:t>
      </w:r>
      <w:r>
        <w:rPr>
          <w:rFonts w:hint="eastAsia" w:ascii="新宋体" w:hAnsi="新宋体" w:eastAsia="新宋体"/>
        </w:rPr>
        <w:tab/>
      </w:r>
      <w:r>
        <w:rPr>
          <w:rFonts w:hint="eastAsia" w:ascii="宋体" w:hAnsi="宋体"/>
        </w:rPr>
        <w:t>《关于增值税调整后我省建设工程计价依据增值税税率及有关计价调整的通知》（浙建建发【2019】92 号）</w:t>
      </w:r>
    </w:p>
    <w:p>
      <w:pPr>
        <w:keepNext/>
        <w:keepLines/>
        <w:spacing w:line="360" w:lineRule="auto"/>
        <w:ind w:left="1140" w:hanging="420"/>
        <w:rPr>
          <w:rFonts w:ascii="宋体" w:hAnsi="宋体"/>
        </w:rPr>
      </w:pPr>
      <w:r>
        <w:rPr>
          <w:rFonts w:hint="eastAsia" w:ascii="新宋体" w:hAnsi="新宋体" w:eastAsia="新宋体"/>
        </w:rPr>
        <w:t>7.</w:t>
      </w:r>
      <w:r>
        <w:rPr>
          <w:rFonts w:hint="eastAsia" w:ascii="新宋体" w:hAnsi="新宋体" w:eastAsia="新宋体"/>
        </w:rPr>
        <w:tab/>
      </w:r>
      <w:r>
        <w:rPr>
          <w:rFonts w:hint="eastAsia" w:ascii="宋体" w:hAnsi="宋体"/>
        </w:rPr>
        <w:t>建设工程设计文件：施工图</w:t>
      </w:r>
    </w:p>
    <w:p>
      <w:pPr>
        <w:keepNext/>
        <w:keepLines/>
        <w:spacing w:line="360" w:lineRule="auto"/>
        <w:ind w:left="1140" w:hanging="420"/>
        <w:rPr>
          <w:rFonts w:ascii="宋体" w:hAnsi="宋体"/>
        </w:rPr>
      </w:pPr>
      <w:r>
        <w:rPr>
          <w:rFonts w:hint="eastAsia" w:ascii="新宋体" w:hAnsi="新宋体" w:eastAsia="新宋体"/>
        </w:rPr>
        <w:t>8.</w:t>
      </w:r>
      <w:r>
        <w:rPr>
          <w:rFonts w:hint="eastAsia" w:ascii="新宋体" w:hAnsi="新宋体" w:eastAsia="新宋体"/>
        </w:rPr>
        <w:tab/>
      </w:r>
      <w:r>
        <w:rPr>
          <w:rFonts w:hint="eastAsia" w:ascii="宋体" w:hAnsi="宋体"/>
        </w:rPr>
        <w:t>与建设工程项目有关的标准、规范、技术资料；</w:t>
      </w:r>
    </w:p>
    <w:p>
      <w:pPr>
        <w:keepNext/>
        <w:keepLines/>
        <w:spacing w:line="360" w:lineRule="auto"/>
        <w:ind w:left="1140" w:hanging="420"/>
        <w:rPr>
          <w:rFonts w:ascii="Times New Roman" w:hAnsi="Times New Roman" w:eastAsia="Times New Roman"/>
        </w:rPr>
      </w:pPr>
      <w:r>
        <w:rPr>
          <w:rFonts w:hint="eastAsia" w:ascii="新宋体" w:hAnsi="新宋体" w:eastAsia="新宋体"/>
        </w:rPr>
        <w:t>9.</w:t>
      </w:r>
      <w:r>
        <w:rPr>
          <w:rFonts w:hint="eastAsia" w:ascii="新宋体" w:hAnsi="新宋体" w:eastAsia="新宋体"/>
        </w:rPr>
        <w:tab/>
      </w:r>
      <w:r>
        <w:rPr>
          <w:rFonts w:hint="eastAsia" w:ascii="宋体" w:hAnsi="宋体"/>
        </w:rPr>
        <w:t>拟定的招标文件；</w:t>
      </w:r>
    </w:p>
    <w:p>
      <w:pPr>
        <w:keepNext/>
        <w:keepLines/>
        <w:spacing w:line="360" w:lineRule="auto"/>
        <w:ind w:left="1140" w:hanging="420"/>
        <w:rPr>
          <w:rFonts w:ascii="宋体" w:hAnsi="宋体"/>
        </w:rPr>
      </w:pPr>
      <w:r>
        <w:rPr>
          <w:rFonts w:hint="eastAsia" w:ascii="新宋体" w:hAnsi="新宋体" w:eastAsia="新宋体"/>
        </w:rPr>
        <w:t>10.</w:t>
      </w:r>
      <w:r>
        <w:rPr>
          <w:rFonts w:hint="eastAsia" w:ascii="新宋体" w:hAnsi="新宋体" w:eastAsia="新宋体"/>
        </w:rPr>
        <w:tab/>
      </w:r>
      <w:r>
        <w:rPr>
          <w:rFonts w:hint="eastAsia" w:ascii="宋体" w:hAnsi="宋体"/>
        </w:rPr>
        <w:t>常规的施工组织设计或施工方案；</w:t>
      </w:r>
    </w:p>
    <w:p>
      <w:pPr>
        <w:keepNext/>
        <w:keepLines/>
        <w:spacing w:line="360" w:lineRule="auto"/>
        <w:ind w:left="1140" w:hanging="420"/>
        <w:rPr>
          <w:rFonts w:ascii="Times New Roman" w:hAnsi="Times New Roman" w:eastAsia="Times New Roman"/>
        </w:rPr>
      </w:pPr>
      <w:r>
        <w:rPr>
          <w:rFonts w:hint="eastAsia" w:ascii="新宋体" w:hAnsi="新宋体" w:eastAsia="新宋体"/>
        </w:rPr>
        <w:t>11.</w:t>
      </w:r>
      <w:r>
        <w:rPr>
          <w:rFonts w:hint="eastAsia" w:ascii="新宋体" w:hAnsi="新宋体" w:eastAsia="新宋体"/>
        </w:rPr>
        <w:tab/>
      </w:r>
      <w:r>
        <w:rPr>
          <w:rFonts w:hint="eastAsia" w:ascii="宋体" w:hAnsi="宋体"/>
        </w:rPr>
        <w:t>信息价采用《杭州造价信息价（202</w:t>
      </w:r>
      <w:r>
        <w:rPr>
          <w:rFonts w:hint="eastAsia" w:ascii="宋体" w:hAnsi="宋体"/>
          <w:lang w:val="en-US" w:eastAsia="zh-CN"/>
        </w:rPr>
        <w:t>6.04</w:t>
      </w:r>
      <w:r>
        <w:rPr>
          <w:rFonts w:hint="eastAsia" w:ascii="宋体" w:hAnsi="宋体"/>
        </w:rPr>
        <w:t>）》桐庐地区信息价，桐庐地区无信息价的参照杭州地区信息价；《杭州造价信息价》中没有的，参照《浙江省信息价（202</w:t>
      </w:r>
      <w:r>
        <w:rPr>
          <w:rFonts w:hint="eastAsia" w:ascii="宋体" w:hAnsi="宋体"/>
          <w:lang w:val="en-US" w:eastAsia="zh-CN"/>
        </w:rPr>
        <w:t>6.04</w:t>
      </w:r>
      <w:r>
        <w:rPr>
          <w:rFonts w:hint="eastAsia" w:ascii="宋体" w:hAnsi="宋体"/>
        </w:rPr>
        <w:t>》计入；以上信息价中都没有的无价材料，根据市场询价确定。</w:t>
      </w:r>
    </w:p>
    <w:p>
      <w:pPr>
        <w:keepNext/>
        <w:keepLines/>
        <w:spacing w:line="360" w:lineRule="auto"/>
        <w:ind w:left="1140" w:hanging="420"/>
        <w:rPr>
          <w:rFonts w:ascii="宋体" w:hAnsi="宋体"/>
        </w:rPr>
      </w:pPr>
      <w:r>
        <w:rPr>
          <w:rFonts w:hint="eastAsia" w:ascii="新宋体" w:hAnsi="新宋体" w:eastAsia="新宋体"/>
        </w:rPr>
        <w:t>12.</w:t>
      </w:r>
      <w:r>
        <w:rPr>
          <w:rFonts w:hint="eastAsia" w:ascii="新宋体" w:hAnsi="新宋体" w:eastAsia="新宋体"/>
        </w:rPr>
        <w:tab/>
      </w:r>
      <w:r>
        <w:rPr>
          <w:rFonts w:hint="eastAsia" w:ascii="宋体" w:hAnsi="宋体"/>
        </w:rPr>
        <w:t>其他相关资料；</w:t>
      </w:r>
    </w:p>
    <w:p>
      <w:pPr>
        <w:keepNext/>
        <w:keepLines/>
        <w:spacing w:line="360" w:lineRule="auto"/>
        <w:ind w:left="1140" w:hanging="420"/>
        <w:rPr>
          <w:rFonts w:ascii="宋体" w:hAnsi="宋体"/>
        </w:rPr>
      </w:pPr>
      <w:r>
        <w:rPr>
          <w:rFonts w:hint="eastAsia" w:ascii="宋体" w:hAnsi="宋体"/>
        </w:rPr>
        <w:t>13.根据相关文件计取安全生产责任保险费用；</w:t>
      </w:r>
    </w:p>
    <w:p>
      <w:pPr>
        <w:spacing w:line="360" w:lineRule="auto"/>
        <w:ind w:left="420" w:hanging="420"/>
        <w:rPr>
          <w:rFonts w:ascii="宋体" w:hAnsi="宋体"/>
          <w:sz w:val="24"/>
        </w:rPr>
      </w:pPr>
      <w:r>
        <w:rPr>
          <w:rFonts w:hint="eastAsia" w:ascii="宋体" w:hAnsi="宋体"/>
        </w:rPr>
        <w:t>四.</w:t>
      </w:r>
      <w:r>
        <w:rPr>
          <w:rFonts w:hint="eastAsia" w:ascii="宋体" w:hAnsi="宋体"/>
        </w:rPr>
        <w:tab/>
      </w:r>
      <w:r>
        <w:rPr>
          <w:rFonts w:hint="eastAsia" w:ascii="宋体" w:hAnsi="宋体"/>
          <w:b/>
          <w:color w:val="FF0000"/>
          <w:sz w:val="24"/>
        </w:rPr>
        <w:t>工程质量、工期、材料、施工等要求：</w:t>
      </w:r>
      <w:r>
        <w:rPr>
          <w:rFonts w:hint="eastAsia" w:ascii="宋体" w:hAnsi="宋体"/>
          <w:sz w:val="24"/>
        </w:rPr>
        <w:t>按招标文件。</w:t>
      </w:r>
    </w:p>
    <w:p>
      <w:pPr>
        <w:spacing w:line="360" w:lineRule="auto"/>
        <w:ind w:left="420" w:hanging="420"/>
        <w:rPr>
          <w:rFonts w:ascii="宋体" w:hAnsi="宋体"/>
          <w:b/>
          <w:color w:val="FF0000"/>
          <w:sz w:val="24"/>
        </w:rPr>
      </w:pPr>
      <w:r>
        <w:rPr>
          <w:rFonts w:hint="eastAsia" w:ascii="宋体" w:hAnsi="宋体"/>
          <w:lang w:val="en-US" w:eastAsia="zh-CN"/>
        </w:rPr>
        <w:t>五</w:t>
      </w:r>
      <w:r>
        <w:rPr>
          <w:rFonts w:hint="eastAsia" w:ascii="宋体" w:hAnsi="宋体"/>
        </w:rPr>
        <w:t>.</w:t>
      </w:r>
      <w:r>
        <w:rPr>
          <w:rFonts w:hint="eastAsia" w:ascii="宋体" w:hAnsi="宋体"/>
        </w:rPr>
        <w:tab/>
      </w:r>
      <w:r>
        <w:rPr>
          <w:rFonts w:hint="eastAsia" w:ascii="宋体" w:hAnsi="宋体"/>
          <w:b/>
          <w:color w:val="FF0000"/>
          <w:sz w:val="24"/>
        </w:rPr>
        <w:t>取费说明：</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招标控制价中安全文明施工费按《浙江省建设工程计价规则》（2018版）规定的市区一般工程相应费率中值取费；取费基数为人工费+机械费，装修</w:t>
      </w:r>
      <w:r>
        <w:rPr>
          <w:rFonts w:hint="eastAsia" w:ascii="宋体" w:hAnsi="宋体" w:cs="宋体"/>
          <w:b/>
          <w:bCs/>
          <w:color w:val="auto"/>
          <w:sz w:val="24"/>
          <w:szCs w:val="24"/>
          <w:lang w:val="en-US" w:eastAsia="zh-CN"/>
        </w:rPr>
        <w:t>安全文明施工费费率为7.14%，安装安全文明施工费费率为8.88%</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招标控制价中企业管理费按《浙江省建设工程计价规则》（2018版）规定的相应费率中值取费；取费基数为人工费+机械费，装修</w:t>
      </w:r>
      <w:r>
        <w:rPr>
          <w:rFonts w:hint="eastAsia" w:ascii="宋体" w:hAnsi="宋体" w:cs="宋体"/>
          <w:b/>
          <w:bCs/>
          <w:color w:val="auto"/>
          <w:sz w:val="24"/>
          <w:szCs w:val="24"/>
          <w:lang w:val="en-US" w:eastAsia="zh-CN"/>
        </w:rPr>
        <w:t>企业管理费费率为15.16%，</w:t>
      </w:r>
      <w:r>
        <w:rPr>
          <w:rFonts w:hint="eastAsia" w:ascii="宋体" w:hAnsi="宋体" w:cs="宋体"/>
          <w:color w:val="auto"/>
          <w:sz w:val="24"/>
          <w:szCs w:val="24"/>
          <w:lang w:val="en-US" w:eastAsia="zh-CN"/>
        </w:rPr>
        <w:t>安装</w:t>
      </w:r>
      <w:r>
        <w:rPr>
          <w:rFonts w:hint="eastAsia" w:ascii="宋体" w:hAnsi="宋体" w:cs="宋体"/>
          <w:b/>
          <w:bCs/>
          <w:color w:val="auto"/>
          <w:sz w:val="24"/>
          <w:szCs w:val="24"/>
          <w:lang w:val="en-US" w:eastAsia="zh-CN"/>
        </w:rPr>
        <w:t>企业管理费费率为21.72%</w:t>
      </w:r>
    </w:p>
    <w:p>
      <w:pPr>
        <w:spacing w:line="360" w:lineRule="auto"/>
        <w:rPr>
          <w:rFonts w:ascii="宋体" w:hAnsi="宋体" w:eastAsia="宋体" w:cs="宋体"/>
          <w:color w:val="auto"/>
          <w:sz w:val="24"/>
          <w:szCs w:val="24"/>
        </w:rPr>
      </w:pPr>
      <w:r>
        <w:rPr>
          <w:rFonts w:hint="eastAsia" w:ascii="宋体" w:hAnsi="宋体" w:cs="宋体"/>
          <w:color w:val="auto"/>
          <w:sz w:val="24"/>
          <w:szCs w:val="24"/>
          <w:lang w:val="en-US" w:eastAsia="zh-CN"/>
        </w:rPr>
        <w:t>规费按《浙江省建设工程计价规则》（2018版）规定取费，取费基数为人工费+机械费，</w:t>
      </w:r>
      <w:bookmarkStart w:id="0" w:name="OLE_LINK1"/>
      <w:r>
        <w:rPr>
          <w:rFonts w:hint="eastAsia" w:ascii="宋体" w:hAnsi="宋体" w:cs="宋体"/>
          <w:color w:val="auto"/>
          <w:sz w:val="24"/>
          <w:szCs w:val="24"/>
          <w:lang w:val="en-US" w:eastAsia="zh-CN"/>
        </w:rPr>
        <w:t>装修</w:t>
      </w:r>
      <w:r>
        <w:rPr>
          <w:rFonts w:hint="eastAsia" w:ascii="宋体" w:hAnsi="宋体" w:cs="宋体"/>
          <w:b/>
          <w:bCs/>
          <w:color w:val="auto"/>
          <w:sz w:val="24"/>
          <w:szCs w:val="24"/>
          <w:lang w:val="en-US" w:eastAsia="zh-CN"/>
        </w:rPr>
        <w:t>规费费率为27.92%</w:t>
      </w:r>
      <w:bookmarkEnd w:id="0"/>
      <w:r>
        <w:rPr>
          <w:rFonts w:hint="eastAsia" w:ascii="宋体" w:hAnsi="宋体" w:cs="宋体"/>
          <w:b/>
          <w:bCs/>
          <w:color w:val="auto"/>
          <w:sz w:val="24"/>
          <w:szCs w:val="24"/>
          <w:lang w:val="en-US" w:eastAsia="zh-CN"/>
        </w:rPr>
        <w:t>，</w:t>
      </w:r>
      <w:r>
        <w:rPr>
          <w:rFonts w:hint="eastAsia" w:ascii="宋体" w:hAnsi="宋体" w:cs="宋体"/>
          <w:color w:val="auto"/>
          <w:sz w:val="24"/>
          <w:szCs w:val="24"/>
          <w:lang w:val="en-US" w:eastAsia="zh-CN"/>
        </w:rPr>
        <w:t>安装</w:t>
      </w:r>
      <w:r>
        <w:rPr>
          <w:rFonts w:hint="eastAsia" w:ascii="宋体" w:hAnsi="宋体" w:cs="宋体"/>
          <w:b/>
          <w:bCs/>
          <w:color w:val="auto"/>
          <w:sz w:val="24"/>
          <w:szCs w:val="24"/>
          <w:lang w:val="en-US" w:eastAsia="zh-CN"/>
        </w:rPr>
        <w:t>规费费率为30.63%</w:t>
      </w:r>
      <w:r>
        <w:rPr>
          <w:rFonts w:ascii="宋体" w:hAnsi="宋体" w:eastAsia="宋体" w:cs="宋体"/>
          <w:color w:val="auto"/>
          <w:sz w:val="24"/>
          <w:szCs w:val="24"/>
        </w:rPr>
        <w:br w:type="textWrapping"/>
      </w:r>
      <w:r>
        <w:rPr>
          <w:rFonts w:ascii="宋体" w:hAnsi="宋体" w:eastAsia="宋体" w:cs="宋体"/>
          <w:color w:val="auto"/>
          <w:sz w:val="24"/>
          <w:szCs w:val="24"/>
        </w:rPr>
        <w:t>4、税金费率为9%（增值税，此项费用为不可竞争费用，不得竞争）。</w:t>
      </w:r>
    </w:p>
    <w:p>
      <w:pPr>
        <w:spacing w:line="360" w:lineRule="auto"/>
        <w:rPr>
          <w:rFonts w:ascii="宋体" w:hAnsi="宋体"/>
          <w:b/>
          <w:color w:val="FF0000"/>
          <w:sz w:val="24"/>
        </w:rPr>
      </w:pPr>
      <w:r>
        <w:rPr>
          <w:rFonts w:hint="eastAsia" w:ascii="宋体" w:hAnsi="宋体"/>
          <w:b/>
          <w:color w:val="FF0000"/>
          <w:sz w:val="24"/>
          <w:lang w:val="en-US" w:eastAsia="zh-CN"/>
        </w:rPr>
        <w:t>六</w:t>
      </w:r>
      <w:r>
        <w:rPr>
          <w:rFonts w:hint="eastAsia" w:ascii="宋体" w:hAnsi="宋体"/>
          <w:b/>
          <w:color w:val="FF0000"/>
          <w:sz w:val="24"/>
        </w:rPr>
        <w:t>.其它相关说明：</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1、本工程根据图纸工程量计算，具体按实结算；</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2、脚手架的类型自行考虑并应符合相关规定，中标后不做调整</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3、本项目部分造型含弧形，综合单价包含弧形增加费，不再另行计价，投标单位综合考虑相关费用</w:t>
      </w:r>
    </w:p>
    <w:p>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4、本项目所有材料等需经业主、设计确认，投标单位综合考虑相关颜色、纹路、选样等相关风险费用</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5、经询问业主，可移动家具、成品窗帘、三层展厅墙面、造型墙面（包括立面图标注有文化墙造型设计的墙面基层和装饰面层不计入）、树脂地板、展厅踢脚线、相关特殊设备、广告标识、三层吊顶发光膜等不计入本工程</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6、防水做法高度计算到吊顶高度</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7、检修口考虑在吊顶综合单价中</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8、地胶纯色和定制综合考虑单价中，不单独计价，投标单位投标时综合考虑报价</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9、与设计沟通确认，瓷砖美缝计入</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23、与设计沟通确认，本项目采用普通纸面石膏板</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24、本项目综合考虑石材瓷砖倒角磨边做法</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25、3层地板考虑拆除利旧考虑</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26、配电总箱进线引自母线插接箱，预留10m/路考虑计入；</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27、配电箱3ATZT1备用电源引自变配电房，预留100m考虑计入；</w:t>
      </w:r>
    </w:p>
    <w:p>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28、配电箱3ATFJ1电源引自变配电房，预留100m/路考虑计入；</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29、弱电系统仅计入预埋管线、弱电机柜（空箱）、插座模块，弱电设备由二次深化确认，本次预算未计入；</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30、弱电系统中，网线算至各层机柜止，考虑后期接线，弱电机柜内每回路网线预留5m/路考虑计入。</w:t>
      </w:r>
    </w:p>
    <w:p>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31经设计现场确认，所有嵌入式风机盘管按新增设备考虑，四面出风空调内机考虑旧利；二层空调外机按新增设备考虑，一层空调外机考虑旧利。</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32、应急照明系统集中电源箱电源引自消防双切箱，暂估10m/路考虑计入；</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33、检测信号线及通讯干线接入原有应急照明控制器，暂估100m/路考虑计入；</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34、火灾自动报警系统三层算至消防接线端子箱处止；一层就近接至原大楼本层报警系统，暂估20m/路考虑计入</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35、自动报警系统新增模块需满足可接入原有主机。</w:t>
      </w:r>
    </w:p>
    <w:p>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36、灯带仅考虑平面部分，立面部分无图纸，灯带未计入，仅预留电源；</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37、所有灯具款式、灯头款式由施工单位在开工后（施工前）提交拟采用的厂家、品牌和提供样品，并提供合格证和检测报告等相关资料，由业主、设计、监理确认后使用。</w:t>
      </w:r>
    </w:p>
    <w:p>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38、本项目抗震支架按“套”计算，工程量为暂定，结算时工程量按实调整，单价由投标单位根据现行设计及验收规范自行报价。抗震支架由中标单位委托具有相关资质的单位深化设计出图并供货及安装，相关费用包含在相应单价中。抗震支架深化设计施工图，必须经过建设单位、设计单位、监理单位同意方可实施。抗震支架施工前必须提供二次深化设计的施工图纸并报建设单位、设计单位、图审单位、监理单位、质监单位敲章认可。</w:t>
      </w:r>
    </w:p>
    <w:p>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39、各类管道，桥架等开孔及封堵费用，均考虑在各项清单综合单价内，不另外单独计取清单，投标单位自行考虑该费用</w:t>
      </w:r>
    </w:p>
    <w:p>
      <w:pPr>
        <w:pStyle w:val="2"/>
        <w:rPr>
          <w:rFonts w:hint="default"/>
          <w:lang w:val="en-US" w:eastAsia="zh-CN"/>
        </w:rPr>
      </w:pPr>
    </w:p>
    <w:p>
      <w:pPr>
        <w:numPr>
          <w:ilvl w:val="0"/>
          <w:numId w:val="2"/>
        </w:numPr>
        <w:spacing w:line="276" w:lineRule="auto"/>
        <w:rPr>
          <w:rFonts w:ascii="宋体" w:hAnsi="宋体"/>
          <w:b/>
          <w:color w:val="FF0000"/>
          <w:szCs w:val="21"/>
        </w:rPr>
      </w:pPr>
      <w:r>
        <w:rPr>
          <w:rFonts w:hint="eastAsia" w:ascii="宋体" w:hAnsi="宋体"/>
          <w:b/>
          <w:color w:val="FF0000"/>
          <w:szCs w:val="21"/>
          <w:lang w:val="en-US" w:eastAsia="zh-CN"/>
        </w:rPr>
        <w:t>材料品牌</w:t>
      </w:r>
      <w:r>
        <w:rPr>
          <w:rFonts w:hint="eastAsia" w:ascii="宋体" w:hAnsi="宋体"/>
          <w:b/>
          <w:color w:val="FF0000"/>
          <w:szCs w:val="21"/>
        </w:rPr>
        <w:t>说明：</w:t>
      </w:r>
    </w:p>
    <w:p>
      <w:pPr>
        <w:pStyle w:val="2"/>
        <w:rPr>
          <w:rFonts w:hint="default"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1、石膏板、轻钢龙骨---------------杰森 JJASON、</w:t>
      </w:r>
      <w:bookmarkStart w:id="1" w:name="OLE_LINK4"/>
      <w:r>
        <w:rPr>
          <w:rFonts w:hint="eastAsia" w:ascii="宋体" w:hAnsi="宋体" w:cs="宋体"/>
          <w:kern w:val="0"/>
          <w:sz w:val="24"/>
          <w:szCs w:val="24"/>
          <w:highlight w:val="none"/>
          <w:lang w:val="en-US" w:eastAsia="zh-CN" w:bidi="ar"/>
        </w:rPr>
        <w:t>龙牌</w:t>
      </w:r>
      <w:bookmarkEnd w:id="1"/>
      <w:r>
        <w:rPr>
          <w:rFonts w:hint="eastAsia" w:ascii="宋体" w:hAnsi="宋体" w:cs="宋体"/>
          <w:kern w:val="0"/>
          <w:sz w:val="24"/>
          <w:szCs w:val="24"/>
          <w:highlight w:val="none"/>
          <w:lang w:val="en-US" w:eastAsia="zh-CN" w:bidi="ar"/>
        </w:rPr>
        <w:t>、KNAUF 可耐福或同档次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2、木工板等基层板--------------------------千年舟、莫千山、兔宝宝或同档次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3、无机涂料----------------------------------立邦、多乐士、嘉宝莉或同档次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4、防水材料----------------------</w:t>
      </w:r>
      <w:bookmarkStart w:id="2" w:name="_GoBack"/>
      <w:bookmarkEnd w:id="2"/>
      <w:r>
        <w:rPr>
          <w:rFonts w:hint="eastAsia" w:ascii="宋体" w:hAnsi="宋体" w:cs="宋体"/>
          <w:kern w:val="0"/>
          <w:sz w:val="24"/>
          <w:szCs w:val="24"/>
          <w:highlight w:val="none"/>
          <w:lang w:val="en-US" w:eastAsia="zh-CN" w:bidi="ar"/>
        </w:rPr>
        <w:t>------------科顺、卓宝、东方雨虹或同档次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5、钢筋------------------------------------------马钢、沙钢、鞍钢或同档次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6、加气混凝土砌块------------------------奥兴筑友、</w:t>
      </w:r>
      <w:r>
        <w:rPr>
          <w:rFonts w:hint="default" w:ascii="宋体" w:hAnsi="宋体" w:cs="宋体"/>
          <w:kern w:val="0"/>
          <w:sz w:val="24"/>
          <w:szCs w:val="24"/>
          <w:highlight w:val="none"/>
          <w:lang w:val="en-US" w:eastAsia="zh-CN" w:bidi="ar"/>
        </w:rPr>
        <w:t>富城墙体</w:t>
      </w:r>
      <w:r>
        <w:rPr>
          <w:rFonts w:hint="eastAsia" w:ascii="宋体" w:hAnsi="宋体" w:cs="宋体"/>
          <w:kern w:val="0"/>
          <w:sz w:val="24"/>
          <w:szCs w:val="24"/>
          <w:highlight w:val="none"/>
          <w:lang w:val="en-US" w:eastAsia="zh-CN" w:bidi="ar"/>
        </w:rPr>
        <w:t>、强基或同档次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7、水泥------------------------------------------南方、三狮、海螺或同档次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8、瓷砖、地砖----------------------------------诺贝尔、冠军、东鹏或同档次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9、铝板------------------------------------华尔泰、明泰铝业、雅泰或同档次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11、玻璃隔断-------------------------------南玻、北玻、杭州福莱特或同档次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12、灯具-----------------------------------------长方、欧普、雷士或同档次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13、应急---------------------------------------久远、台宜、乐思达或同档次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14、报警-------------久远、松江、海湾（需与现场主机匹配方可选择）或同档次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15、</w:t>
      </w:r>
      <w:r>
        <w:rPr>
          <w:rFonts w:hint="eastAsia" w:ascii="宋体" w:hAnsi="宋体" w:cs="宋体"/>
          <w:kern w:val="0"/>
          <w:sz w:val="24"/>
          <w:szCs w:val="24"/>
          <w:highlight w:val="none"/>
          <w:lang w:val="zh-CN" w:eastAsia="zh-CN" w:bidi="ar"/>
        </w:rPr>
        <w:t>电线、电缆</w:t>
      </w:r>
      <w:r>
        <w:rPr>
          <w:rFonts w:hint="eastAsia" w:ascii="宋体" w:hAnsi="宋体" w:cs="宋体"/>
          <w:kern w:val="0"/>
          <w:sz w:val="24"/>
          <w:szCs w:val="24"/>
          <w:highlight w:val="none"/>
          <w:lang w:val="en-US" w:eastAsia="zh-CN" w:bidi="ar"/>
        </w:rPr>
        <w:t>---------------------------万马、永通中策、浙江元通或同档次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16、水管-----------------------------------------伟星、中财、公元或同档次</w:t>
      </w:r>
    </w:p>
    <w:p>
      <w:pPr>
        <w:pStyle w:val="2"/>
        <w:rPr>
          <w:rFonts w:hint="default"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17、洁具---------------------------------------toto、科勒、百德嘉或同档次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18、配电箱元器件---------------------施耐德、常熟、良信、人民电器或同档次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19、镀锌钢管、钢塑管、焊接管--衡水京华、浙江金洲、天津友发、天津利达或同档次</w:t>
      </w:r>
    </w:p>
    <w:p>
      <w:pPr>
        <w:pStyle w:val="2"/>
        <w:rPr>
          <w:rFonts w:hint="eastAsia"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20、阀门-------------------------杭州春江阀门、上海沪工、上海冠龙或同档次</w:t>
      </w:r>
    </w:p>
    <w:p>
      <w:pPr>
        <w:pStyle w:val="2"/>
        <w:rPr>
          <w:rFonts w:hint="default" w:ascii="宋体" w:hAnsi="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21、空调-----------------------------------------美的、格力、海尔或同档次</w:t>
      </w:r>
    </w:p>
    <w:p>
      <w:pPr>
        <w:keepNext w:val="0"/>
        <w:keepLines w:val="0"/>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color w:val="auto"/>
          <w:sz w:val="24"/>
          <w:szCs w:val="24"/>
          <w:lang w:val="en-US" w:eastAsia="zh-CN"/>
        </w:rPr>
      </w:pPr>
      <w:r>
        <w:rPr>
          <w:rFonts w:hint="eastAsia" w:ascii="宋体" w:hAnsi="宋体" w:eastAsia="宋体" w:cs="宋体"/>
          <w:sz w:val="24"/>
          <w:szCs w:val="24"/>
          <w:lang w:val="zh-CN"/>
        </w:rPr>
        <w:t>注：以上品牌仅供投标时参考，投标人在投标文件中若提供了招标人推荐品牌以外的产品，应同时提供相当于招标人推荐品牌产品同档次的证明材料；投标人若未注明品牌、不选择招标人的推荐品牌且未提供同档次的证明材料的，中标后由招标人在所列品牌中任选其一，中标人须无条件接受。</w:t>
      </w:r>
      <w:r>
        <w:rPr>
          <w:rFonts w:hint="eastAsia" w:ascii="宋体" w:hAnsi="宋体" w:eastAsia="宋体" w:cs="宋体"/>
          <w:color w:val="000000"/>
          <w:kern w:val="0"/>
          <w:sz w:val="24"/>
          <w:szCs w:val="24"/>
          <w:lang w:bidi="ar"/>
        </w:rPr>
        <w:t>实际施工过程中需经建设单位同意后方可使用，价格由投标单位自行报价，一次性包干，中标后不作调整</w:t>
      </w:r>
      <w:r>
        <w:rPr>
          <w:rFonts w:hint="eastAsia" w:ascii="宋体" w:hAnsi="宋体" w:eastAsia="宋体" w:cs="宋体"/>
          <w:sz w:val="24"/>
          <w:szCs w:val="24"/>
          <w:lang w:val="zh-CN"/>
        </w:rPr>
        <w:t>，</w:t>
      </w:r>
      <w:r>
        <w:rPr>
          <w:rFonts w:hint="eastAsia" w:ascii="宋体" w:hAnsi="宋体" w:eastAsia="宋体" w:cs="宋体"/>
          <w:color w:val="000000"/>
          <w:kern w:val="0"/>
          <w:sz w:val="24"/>
          <w:szCs w:val="24"/>
          <w:lang w:bidi="ar"/>
        </w:rPr>
        <w:t>但所采购材料必须符合施工图设计、国标、现行施工验收规范要求，并经招标人、监理单位认可，才能使用到本工程。请各投标单位报价时，自行考虑市场上下浮动风险因素。所有材料的颜色和式样等在施工前，根据设计和业主要求确定，但单价不作调整</w:t>
      </w:r>
      <w:r>
        <w:rPr>
          <w:rFonts w:hint="eastAsia" w:ascii="宋体" w:hAnsi="宋体" w:eastAsia="宋体" w:cs="宋体"/>
          <w:sz w:val="24"/>
          <w:szCs w:val="24"/>
          <w:lang w:val="zh-CN"/>
        </w:rPr>
        <w:t>（注：清单中未提供品牌的材料均为国产优质品牌）</w:t>
      </w:r>
    </w:p>
    <w:p>
      <w:pPr>
        <w:pStyle w:val="6"/>
        <w:keepNext w:val="0"/>
        <w:keepLines w:val="0"/>
        <w:widowControl/>
        <w:suppressLineNumbers w:val="0"/>
        <w:spacing w:before="0" w:beforeAutospacing="0" w:after="0" w:afterAutospacing="0"/>
        <w:ind w:left="0" w:right="0" w:firstLine="660" w:firstLineChars="300"/>
        <w:rPr>
          <w:rFonts w:hint="default" w:ascii="MS Sans Serif" w:hAnsi="MS Sans Serif" w:eastAsia="MS Sans Serif"/>
          <w:sz w:val="22"/>
          <w:szCs w:val="24"/>
          <w:lang w:val="en-US" w:eastAsia="zh-CN"/>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MS Sans Serif">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F9B04EE"/>
    <w:multiLevelType w:val="singleLevel"/>
    <w:tmpl w:val="5F9B04E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iOGIwMmU0YWFjMTc5OTEzMWEzY2NhYjE2MDBiZDMifQ=="/>
  </w:docVars>
  <w:rsids>
    <w:rsidRoot w:val="00172A27"/>
    <w:rsid w:val="00172A27"/>
    <w:rsid w:val="00335C8E"/>
    <w:rsid w:val="00343874"/>
    <w:rsid w:val="0037277D"/>
    <w:rsid w:val="00493D7D"/>
    <w:rsid w:val="004F74E3"/>
    <w:rsid w:val="00C26DB7"/>
    <w:rsid w:val="00DC3A11"/>
    <w:rsid w:val="00F051F4"/>
    <w:rsid w:val="00FD7E99"/>
    <w:rsid w:val="011449C3"/>
    <w:rsid w:val="01AD4892"/>
    <w:rsid w:val="023539DB"/>
    <w:rsid w:val="02BC31C1"/>
    <w:rsid w:val="03543DD4"/>
    <w:rsid w:val="03F35DF6"/>
    <w:rsid w:val="03F67290"/>
    <w:rsid w:val="03FF7145"/>
    <w:rsid w:val="04B26125"/>
    <w:rsid w:val="04B55AFF"/>
    <w:rsid w:val="04E646DA"/>
    <w:rsid w:val="04FE0667"/>
    <w:rsid w:val="050F09E9"/>
    <w:rsid w:val="054377AC"/>
    <w:rsid w:val="057F101B"/>
    <w:rsid w:val="06042032"/>
    <w:rsid w:val="071315DC"/>
    <w:rsid w:val="07244D79"/>
    <w:rsid w:val="07391FA4"/>
    <w:rsid w:val="07C75744"/>
    <w:rsid w:val="07F77E37"/>
    <w:rsid w:val="085B45B2"/>
    <w:rsid w:val="08C01522"/>
    <w:rsid w:val="09027DD6"/>
    <w:rsid w:val="09481920"/>
    <w:rsid w:val="099020AD"/>
    <w:rsid w:val="09AD2173"/>
    <w:rsid w:val="09C54AB0"/>
    <w:rsid w:val="09CD05A4"/>
    <w:rsid w:val="09F617BA"/>
    <w:rsid w:val="0A1A3E49"/>
    <w:rsid w:val="0A690D0E"/>
    <w:rsid w:val="0AA27BF2"/>
    <w:rsid w:val="0AA92A2B"/>
    <w:rsid w:val="0AC6516F"/>
    <w:rsid w:val="0AF56F1B"/>
    <w:rsid w:val="0B912CFD"/>
    <w:rsid w:val="0C373C76"/>
    <w:rsid w:val="0CAC0426"/>
    <w:rsid w:val="0CD47233"/>
    <w:rsid w:val="0D084A92"/>
    <w:rsid w:val="0D0A4C8C"/>
    <w:rsid w:val="0D207F4A"/>
    <w:rsid w:val="0D881988"/>
    <w:rsid w:val="0DBE19B7"/>
    <w:rsid w:val="0E130E4D"/>
    <w:rsid w:val="0E8427BE"/>
    <w:rsid w:val="0EDD34DE"/>
    <w:rsid w:val="0F874F8C"/>
    <w:rsid w:val="0FC57D85"/>
    <w:rsid w:val="0FC6328C"/>
    <w:rsid w:val="102569C7"/>
    <w:rsid w:val="104430E9"/>
    <w:rsid w:val="109D62BA"/>
    <w:rsid w:val="11865125"/>
    <w:rsid w:val="11CD3DFC"/>
    <w:rsid w:val="11CF5DEE"/>
    <w:rsid w:val="128778D1"/>
    <w:rsid w:val="128C061D"/>
    <w:rsid w:val="12A6138C"/>
    <w:rsid w:val="12CE55FC"/>
    <w:rsid w:val="12E87C54"/>
    <w:rsid w:val="135F0C8F"/>
    <w:rsid w:val="13AF2F6F"/>
    <w:rsid w:val="13E94A4E"/>
    <w:rsid w:val="14224690"/>
    <w:rsid w:val="143D27BE"/>
    <w:rsid w:val="14410B59"/>
    <w:rsid w:val="144C71AD"/>
    <w:rsid w:val="147A0621"/>
    <w:rsid w:val="147D36EB"/>
    <w:rsid w:val="14D720F1"/>
    <w:rsid w:val="14F450DE"/>
    <w:rsid w:val="14FB2C6B"/>
    <w:rsid w:val="15A20FDE"/>
    <w:rsid w:val="15F841F0"/>
    <w:rsid w:val="16E11042"/>
    <w:rsid w:val="173E50E9"/>
    <w:rsid w:val="174B2FAF"/>
    <w:rsid w:val="17B54033"/>
    <w:rsid w:val="182204F7"/>
    <w:rsid w:val="18273B65"/>
    <w:rsid w:val="182F452A"/>
    <w:rsid w:val="188E5849"/>
    <w:rsid w:val="18C03380"/>
    <w:rsid w:val="18D72712"/>
    <w:rsid w:val="18E9727C"/>
    <w:rsid w:val="19753BC2"/>
    <w:rsid w:val="1AC913AC"/>
    <w:rsid w:val="1B2E34A3"/>
    <w:rsid w:val="1B6C4493"/>
    <w:rsid w:val="1B6F2FA9"/>
    <w:rsid w:val="1BBC447B"/>
    <w:rsid w:val="1CE36FD4"/>
    <w:rsid w:val="1D912BF4"/>
    <w:rsid w:val="1F13311C"/>
    <w:rsid w:val="1F332069"/>
    <w:rsid w:val="20662B92"/>
    <w:rsid w:val="206E540C"/>
    <w:rsid w:val="20887022"/>
    <w:rsid w:val="20E91BFB"/>
    <w:rsid w:val="219914E7"/>
    <w:rsid w:val="21F40D2C"/>
    <w:rsid w:val="22364F87"/>
    <w:rsid w:val="229879F0"/>
    <w:rsid w:val="22B060DA"/>
    <w:rsid w:val="22FB2D58"/>
    <w:rsid w:val="23354EAE"/>
    <w:rsid w:val="235B4176"/>
    <w:rsid w:val="2395582A"/>
    <w:rsid w:val="23E37C91"/>
    <w:rsid w:val="246E6150"/>
    <w:rsid w:val="24864E74"/>
    <w:rsid w:val="249B0281"/>
    <w:rsid w:val="252F5504"/>
    <w:rsid w:val="256B0ACF"/>
    <w:rsid w:val="25906715"/>
    <w:rsid w:val="262D7636"/>
    <w:rsid w:val="2648798C"/>
    <w:rsid w:val="269E53DC"/>
    <w:rsid w:val="26AD5781"/>
    <w:rsid w:val="27AC35F6"/>
    <w:rsid w:val="28542E36"/>
    <w:rsid w:val="285A116D"/>
    <w:rsid w:val="286B74FA"/>
    <w:rsid w:val="28C7481B"/>
    <w:rsid w:val="28C82FBA"/>
    <w:rsid w:val="28E2121C"/>
    <w:rsid w:val="29016A4D"/>
    <w:rsid w:val="294650B7"/>
    <w:rsid w:val="295B7EF9"/>
    <w:rsid w:val="295C2E68"/>
    <w:rsid w:val="2A1E1CDB"/>
    <w:rsid w:val="2A3032EF"/>
    <w:rsid w:val="2A7D3E5F"/>
    <w:rsid w:val="2ADB22B2"/>
    <w:rsid w:val="2BCF68B1"/>
    <w:rsid w:val="2C3C7E23"/>
    <w:rsid w:val="2C541D36"/>
    <w:rsid w:val="2C8559C5"/>
    <w:rsid w:val="2CA756A8"/>
    <w:rsid w:val="2D4E23B7"/>
    <w:rsid w:val="2D6C0B7A"/>
    <w:rsid w:val="2D6C1B47"/>
    <w:rsid w:val="2D6D5C0E"/>
    <w:rsid w:val="2D76663F"/>
    <w:rsid w:val="2D8B0E85"/>
    <w:rsid w:val="2E3B1AF8"/>
    <w:rsid w:val="2E7035CF"/>
    <w:rsid w:val="2E9417D4"/>
    <w:rsid w:val="2EE84158"/>
    <w:rsid w:val="2EF5300D"/>
    <w:rsid w:val="2FF5795A"/>
    <w:rsid w:val="30550CCF"/>
    <w:rsid w:val="30B35EEE"/>
    <w:rsid w:val="30CA1FF6"/>
    <w:rsid w:val="30FE786A"/>
    <w:rsid w:val="311D579E"/>
    <w:rsid w:val="31205696"/>
    <w:rsid w:val="312B6EDC"/>
    <w:rsid w:val="31CD0D39"/>
    <w:rsid w:val="31D37733"/>
    <w:rsid w:val="32570E84"/>
    <w:rsid w:val="32EB76C8"/>
    <w:rsid w:val="32F46BE3"/>
    <w:rsid w:val="33333CAF"/>
    <w:rsid w:val="335A68C8"/>
    <w:rsid w:val="338C3B07"/>
    <w:rsid w:val="34150883"/>
    <w:rsid w:val="346516FC"/>
    <w:rsid w:val="34676A5D"/>
    <w:rsid w:val="34A532AF"/>
    <w:rsid w:val="34A67A0F"/>
    <w:rsid w:val="34E10FCC"/>
    <w:rsid w:val="352B641F"/>
    <w:rsid w:val="352E5EF7"/>
    <w:rsid w:val="355F58A5"/>
    <w:rsid w:val="35DD33E4"/>
    <w:rsid w:val="360E4CEE"/>
    <w:rsid w:val="3634610A"/>
    <w:rsid w:val="365B2BEE"/>
    <w:rsid w:val="365D4197"/>
    <w:rsid w:val="365D5566"/>
    <w:rsid w:val="372E5242"/>
    <w:rsid w:val="38180353"/>
    <w:rsid w:val="385E253E"/>
    <w:rsid w:val="386276F7"/>
    <w:rsid w:val="38A03BD2"/>
    <w:rsid w:val="38EC7CF6"/>
    <w:rsid w:val="391B1AE7"/>
    <w:rsid w:val="39AF7F35"/>
    <w:rsid w:val="39BB7E27"/>
    <w:rsid w:val="3A901BFE"/>
    <w:rsid w:val="3AB71B3F"/>
    <w:rsid w:val="3AF21952"/>
    <w:rsid w:val="3B9B203F"/>
    <w:rsid w:val="3C233E11"/>
    <w:rsid w:val="3C682EB4"/>
    <w:rsid w:val="3C825F90"/>
    <w:rsid w:val="3C827932"/>
    <w:rsid w:val="3C8C183E"/>
    <w:rsid w:val="3CD32F52"/>
    <w:rsid w:val="3CDA0F90"/>
    <w:rsid w:val="3CF91F05"/>
    <w:rsid w:val="3D071844"/>
    <w:rsid w:val="3D597CB6"/>
    <w:rsid w:val="3D7E7284"/>
    <w:rsid w:val="3E00721E"/>
    <w:rsid w:val="3EA0610A"/>
    <w:rsid w:val="3FB4735D"/>
    <w:rsid w:val="3FFD062E"/>
    <w:rsid w:val="40F0234E"/>
    <w:rsid w:val="40F273B0"/>
    <w:rsid w:val="41175582"/>
    <w:rsid w:val="413B181B"/>
    <w:rsid w:val="418F2BE2"/>
    <w:rsid w:val="41937A04"/>
    <w:rsid w:val="41CC53AA"/>
    <w:rsid w:val="41D04882"/>
    <w:rsid w:val="42A46533"/>
    <w:rsid w:val="42B31E04"/>
    <w:rsid w:val="43471789"/>
    <w:rsid w:val="43895CE9"/>
    <w:rsid w:val="43EC3B3D"/>
    <w:rsid w:val="44254A04"/>
    <w:rsid w:val="452038D3"/>
    <w:rsid w:val="453421D0"/>
    <w:rsid w:val="455235D7"/>
    <w:rsid w:val="45B63D74"/>
    <w:rsid w:val="45CE696D"/>
    <w:rsid w:val="45DD1AC8"/>
    <w:rsid w:val="46130FB8"/>
    <w:rsid w:val="461C62AA"/>
    <w:rsid w:val="465D66F5"/>
    <w:rsid w:val="46A55699"/>
    <w:rsid w:val="46FC5239"/>
    <w:rsid w:val="47042CD5"/>
    <w:rsid w:val="471054F8"/>
    <w:rsid w:val="47284F37"/>
    <w:rsid w:val="47AA0C78"/>
    <w:rsid w:val="483B47F6"/>
    <w:rsid w:val="489C64ED"/>
    <w:rsid w:val="48AD6C3B"/>
    <w:rsid w:val="48B97A8F"/>
    <w:rsid w:val="49156483"/>
    <w:rsid w:val="4AA034D0"/>
    <w:rsid w:val="4AD03D05"/>
    <w:rsid w:val="4AD8632C"/>
    <w:rsid w:val="4B1048E4"/>
    <w:rsid w:val="4B320B70"/>
    <w:rsid w:val="4BF03AB3"/>
    <w:rsid w:val="4BF86AA2"/>
    <w:rsid w:val="4C025FD5"/>
    <w:rsid w:val="4C9113F4"/>
    <w:rsid w:val="4CF845E7"/>
    <w:rsid w:val="4D5866A8"/>
    <w:rsid w:val="4D9C1748"/>
    <w:rsid w:val="4DA32DA5"/>
    <w:rsid w:val="4E0A64AB"/>
    <w:rsid w:val="4E8C0B09"/>
    <w:rsid w:val="4EE4011C"/>
    <w:rsid w:val="4EE827E8"/>
    <w:rsid w:val="500951DA"/>
    <w:rsid w:val="502A47BA"/>
    <w:rsid w:val="50BE08BC"/>
    <w:rsid w:val="50CE1C75"/>
    <w:rsid w:val="50DB13A3"/>
    <w:rsid w:val="516B3602"/>
    <w:rsid w:val="516E11F4"/>
    <w:rsid w:val="51E95FAB"/>
    <w:rsid w:val="522204EE"/>
    <w:rsid w:val="522E5817"/>
    <w:rsid w:val="525A2CEE"/>
    <w:rsid w:val="52AC4167"/>
    <w:rsid w:val="52CF6DA2"/>
    <w:rsid w:val="530A55D6"/>
    <w:rsid w:val="53501DBF"/>
    <w:rsid w:val="535E583D"/>
    <w:rsid w:val="537358AC"/>
    <w:rsid w:val="539560F8"/>
    <w:rsid w:val="53BB7DE4"/>
    <w:rsid w:val="53BC45ED"/>
    <w:rsid w:val="54224ABC"/>
    <w:rsid w:val="544D6FA2"/>
    <w:rsid w:val="548B4DBB"/>
    <w:rsid w:val="54A2032B"/>
    <w:rsid w:val="54B514FC"/>
    <w:rsid w:val="55240102"/>
    <w:rsid w:val="558C1FDE"/>
    <w:rsid w:val="559C5EE2"/>
    <w:rsid w:val="55E1237F"/>
    <w:rsid w:val="55E37171"/>
    <w:rsid w:val="55F44DC0"/>
    <w:rsid w:val="560816DA"/>
    <w:rsid w:val="56725024"/>
    <w:rsid w:val="57437223"/>
    <w:rsid w:val="5762313A"/>
    <w:rsid w:val="57DA01B8"/>
    <w:rsid w:val="57EE42BD"/>
    <w:rsid w:val="58441152"/>
    <w:rsid w:val="58D92153"/>
    <w:rsid w:val="58E02218"/>
    <w:rsid w:val="590F3DB6"/>
    <w:rsid w:val="59DB7412"/>
    <w:rsid w:val="59F57219"/>
    <w:rsid w:val="5A0E1765"/>
    <w:rsid w:val="5A50048D"/>
    <w:rsid w:val="5ABE5DAB"/>
    <w:rsid w:val="5AE40C64"/>
    <w:rsid w:val="5B160E02"/>
    <w:rsid w:val="5B253EB4"/>
    <w:rsid w:val="5B4565CC"/>
    <w:rsid w:val="5B773940"/>
    <w:rsid w:val="5BD0717A"/>
    <w:rsid w:val="5C2612ED"/>
    <w:rsid w:val="5C537F09"/>
    <w:rsid w:val="5CA2679A"/>
    <w:rsid w:val="5CC654D6"/>
    <w:rsid w:val="5CE5683C"/>
    <w:rsid w:val="5D071808"/>
    <w:rsid w:val="5D9F39A1"/>
    <w:rsid w:val="5DEC1AEA"/>
    <w:rsid w:val="5E513A2B"/>
    <w:rsid w:val="5EA31923"/>
    <w:rsid w:val="5EF65A63"/>
    <w:rsid w:val="5F2E1A59"/>
    <w:rsid w:val="5F355E40"/>
    <w:rsid w:val="5FB16471"/>
    <w:rsid w:val="5FF4555F"/>
    <w:rsid w:val="602E78AA"/>
    <w:rsid w:val="60791F08"/>
    <w:rsid w:val="609B3C2C"/>
    <w:rsid w:val="60BE3590"/>
    <w:rsid w:val="60CA4511"/>
    <w:rsid w:val="60EC1C57"/>
    <w:rsid w:val="60EF70D1"/>
    <w:rsid w:val="61480D1A"/>
    <w:rsid w:val="614A1FA3"/>
    <w:rsid w:val="614C7653"/>
    <w:rsid w:val="61511552"/>
    <w:rsid w:val="61DB7D25"/>
    <w:rsid w:val="61E40EA8"/>
    <w:rsid w:val="61E7271D"/>
    <w:rsid w:val="62102D35"/>
    <w:rsid w:val="621A7AC0"/>
    <w:rsid w:val="625641FC"/>
    <w:rsid w:val="627C72B4"/>
    <w:rsid w:val="631F6D97"/>
    <w:rsid w:val="632B522D"/>
    <w:rsid w:val="63772FB2"/>
    <w:rsid w:val="637C5F97"/>
    <w:rsid w:val="641B6B36"/>
    <w:rsid w:val="642B3519"/>
    <w:rsid w:val="644371D5"/>
    <w:rsid w:val="64474355"/>
    <w:rsid w:val="64BB709C"/>
    <w:rsid w:val="64D626EA"/>
    <w:rsid w:val="64E14962"/>
    <w:rsid w:val="650D5DBA"/>
    <w:rsid w:val="651B533C"/>
    <w:rsid w:val="652A557F"/>
    <w:rsid w:val="65C47781"/>
    <w:rsid w:val="66015C2F"/>
    <w:rsid w:val="66A21A33"/>
    <w:rsid w:val="6764121C"/>
    <w:rsid w:val="67FA6AB8"/>
    <w:rsid w:val="68A5637B"/>
    <w:rsid w:val="68FD36D6"/>
    <w:rsid w:val="69763488"/>
    <w:rsid w:val="69AC2998"/>
    <w:rsid w:val="69BA12B6"/>
    <w:rsid w:val="6A460B26"/>
    <w:rsid w:val="6A563D9D"/>
    <w:rsid w:val="6AFA59F3"/>
    <w:rsid w:val="6B8D2095"/>
    <w:rsid w:val="6BB87037"/>
    <w:rsid w:val="6BDC08A0"/>
    <w:rsid w:val="6C0D1A47"/>
    <w:rsid w:val="6C9624D8"/>
    <w:rsid w:val="6D343AED"/>
    <w:rsid w:val="6D544FE2"/>
    <w:rsid w:val="6E414774"/>
    <w:rsid w:val="6E423939"/>
    <w:rsid w:val="6E691D52"/>
    <w:rsid w:val="6E920ECA"/>
    <w:rsid w:val="6FC26F04"/>
    <w:rsid w:val="6FCA42BB"/>
    <w:rsid w:val="6FE92498"/>
    <w:rsid w:val="700272ED"/>
    <w:rsid w:val="70144D6F"/>
    <w:rsid w:val="701B638E"/>
    <w:rsid w:val="70874483"/>
    <w:rsid w:val="70C651D1"/>
    <w:rsid w:val="710B7981"/>
    <w:rsid w:val="71530B04"/>
    <w:rsid w:val="71772EC5"/>
    <w:rsid w:val="71D376CA"/>
    <w:rsid w:val="71E746DE"/>
    <w:rsid w:val="72FE09CC"/>
    <w:rsid w:val="733A060D"/>
    <w:rsid w:val="73A56E44"/>
    <w:rsid w:val="73CF6DA2"/>
    <w:rsid w:val="740E6490"/>
    <w:rsid w:val="741D5E49"/>
    <w:rsid w:val="742A7349"/>
    <w:rsid w:val="74404040"/>
    <w:rsid w:val="74620BBB"/>
    <w:rsid w:val="74B36C31"/>
    <w:rsid w:val="74D13D31"/>
    <w:rsid w:val="75501B56"/>
    <w:rsid w:val="759450B6"/>
    <w:rsid w:val="75B0735F"/>
    <w:rsid w:val="75BF1D13"/>
    <w:rsid w:val="75CD4A34"/>
    <w:rsid w:val="75F738D1"/>
    <w:rsid w:val="767915A9"/>
    <w:rsid w:val="76E951CC"/>
    <w:rsid w:val="77727254"/>
    <w:rsid w:val="77FB27C0"/>
    <w:rsid w:val="7882008B"/>
    <w:rsid w:val="78C73BAC"/>
    <w:rsid w:val="78C8448B"/>
    <w:rsid w:val="79414063"/>
    <w:rsid w:val="79915775"/>
    <w:rsid w:val="79B80F53"/>
    <w:rsid w:val="7A262B78"/>
    <w:rsid w:val="7A9E600D"/>
    <w:rsid w:val="7ADB0794"/>
    <w:rsid w:val="7B51264E"/>
    <w:rsid w:val="7B9F5309"/>
    <w:rsid w:val="7BE176F3"/>
    <w:rsid w:val="7CE26B04"/>
    <w:rsid w:val="7D1E4EDE"/>
    <w:rsid w:val="7DE30695"/>
    <w:rsid w:val="7E275251"/>
    <w:rsid w:val="7E2F5BCE"/>
    <w:rsid w:val="7E6B00CF"/>
    <w:rsid w:val="7E6B6EDC"/>
    <w:rsid w:val="7E6D02D4"/>
    <w:rsid w:val="7E9A538E"/>
    <w:rsid w:val="7EAF2E16"/>
    <w:rsid w:val="7F9A209E"/>
    <w:rsid w:val="7FC8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 w:val="24"/>
      <w:szCs w:val="24"/>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页眉 Char"/>
    <w:basedOn w:val="8"/>
    <w:link w:val="3"/>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2844</Words>
  <Characters>3770</Characters>
  <Lines>9</Lines>
  <Paragraphs>2</Paragraphs>
  <TotalTime>1</TotalTime>
  <ScaleCrop>false</ScaleCrop>
  <LinksUpToDate>false</LinksUpToDate>
  <CharactersWithSpaces>3804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2024-03-20T04:43:00Z</dcterms:created>
  <dc:creator>酥</dc:creator>
  <cp:lastModifiedBy>ycx</cp:lastModifiedBy>
  <cp:lastPrinted>2020-11-05T09:06:00Z</cp:lastPrinted>
  <dcterms:modified xsi:type="dcterms:W3CDTF">2026-05-28T06:09:44Z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CAF3140F63804F58AE47543399935D38_13</vt:lpwstr>
  </property>
  <property fmtid="{D5CDD505-2E9C-101B-9397-08002B2CF9AE}" pid="4" name="KSOTemplateDocerSaveRecord">
    <vt:lpwstr>eyJoZGlkIjoiNDE3NTFiMzhhMTcyNTFhOWQxNjMzMmIzYTQ3ZjQwZGEiLCJ1c2VySWQiOiI0MjEzMTA0NjQifQ==</vt:lpwstr>
  </property>
</Properties>
</file>