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94028">
      <w:pPr>
        <w:spacing w:line="360" w:lineRule="auto"/>
        <w:jc w:val="center"/>
        <w:outlineLvl w:val="0"/>
        <w:rPr>
          <w:rFonts w:hint="eastAsia" w:ascii="宋体" w:hAnsi="宋体" w:cs="宋体"/>
          <w:b/>
          <w:spacing w:val="4"/>
          <w:sz w:val="43"/>
        </w:rPr>
      </w:pPr>
      <w:bookmarkStart w:id="0" w:name="OLE_LINK9"/>
      <w:bookmarkStart w:id="1" w:name="OLE_LINK8"/>
      <w:bookmarkStart w:id="2" w:name="OLE_LINK1"/>
      <w:r>
        <w:rPr>
          <w:rFonts w:hint="eastAsia" w:ascii="宋体" w:hAnsi="宋体" w:eastAsia="宋体" w:cs="宋体"/>
          <w:b/>
          <w:spacing w:val="4"/>
          <w:sz w:val="43"/>
          <w:szCs w:val="24"/>
          <w:highlight w:val="none"/>
        </w:rPr>
        <w:t>杭州市会展新城开发建设有限公司</w:t>
      </w:r>
      <w:bookmarkEnd w:id="0"/>
    </w:p>
    <w:bookmarkEnd w:id="1"/>
    <w:p w14:paraId="1C29443D">
      <w:pPr>
        <w:spacing w:line="360" w:lineRule="auto"/>
        <w:jc w:val="center"/>
        <w:outlineLvl w:val="0"/>
        <w:rPr>
          <w:rFonts w:hint="default" w:ascii="宋体" w:hAnsi="宋体" w:eastAsia="宋体" w:cs="宋体"/>
          <w:b/>
          <w:spacing w:val="4"/>
          <w:sz w:val="43"/>
          <w:lang w:val="en-US" w:eastAsia="zh-CN"/>
        </w:rPr>
      </w:pPr>
      <w:r>
        <w:rPr>
          <w:rFonts w:hint="eastAsia" w:ascii="宋体" w:hAnsi="宋体" w:cs="宋体"/>
          <w:b/>
          <w:spacing w:val="4"/>
          <w:sz w:val="43"/>
        </w:rPr>
        <w:t>询价</w:t>
      </w:r>
      <w:r>
        <w:rPr>
          <w:rFonts w:hint="eastAsia" w:ascii="宋体" w:hAnsi="宋体" w:cs="宋体"/>
          <w:b/>
          <w:spacing w:val="4"/>
          <w:sz w:val="43"/>
          <w:lang w:val="en-US" w:eastAsia="zh-CN"/>
        </w:rPr>
        <w:t>报价表</w:t>
      </w:r>
      <w:bookmarkEnd w:id="2"/>
    </w:p>
    <w:p w14:paraId="0DFAC811">
      <w:pPr>
        <w:snapToGrid w:val="0"/>
        <w:jc w:val="both"/>
        <w:rPr>
          <w:rFonts w:hint="eastAsia" w:ascii="仿宋_GB2312" w:hAnsi="仿宋_GB2312" w:eastAsia="仿宋_GB2312" w:cs="仿宋_GB2312"/>
          <w:bCs/>
          <w:sz w:val="28"/>
          <w:szCs w:val="28"/>
          <w:highlight w:val="none"/>
        </w:rPr>
      </w:pPr>
    </w:p>
    <w:p w14:paraId="7412CDBB">
      <w:pPr>
        <w:keepNext w:val="0"/>
        <w:keepLines w:val="0"/>
        <w:pageBreakBefore w:val="0"/>
        <w:widowControl w:val="0"/>
        <w:kinsoku/>
        <w:wordWrap/>
        <w:overflowPunct/>
        <w:topLinePunct w:val="0"/>
        <w:autoSpaceDE/>
        <w:autoSpaceDN/>
        <w:bidi w:val="0"/>
        <w:adjustRightInd/>
        <w:snapToGrid w:val="0"/>
        <w:ind w:left="1400" w:hanging="1400" w:hangingChars="500"/>
        <w:jc w:val="left"/>
        <w:textAlignment w:val="auto"/>
        <w:rPr>
          <w:rFonts w:hint="eastAsia" w:ascii="仿宋_GB2312" w:hAnsi="仿宋_GB2312" w:eastAsia="仿宋_GB2312" w:cs="仿宋_GB2312"/>
          <w:bCs/>
          <w:sz w:val="28"/>
          <w:szCs w:val="28"/>
          <w:highlight w:val="none"/>
          <w:lang w:val="en-US" w:eastAsia="zh-CN"/>
        </w:rPr>
      </w:pPr>
      <w:r>
        <w:rPr>
          <w:rFonts w:hint="eastAsia" w:ascii="仿宋_GB2312" w:hAnsi="仿宋_GB2312" w:eastAsia="仿宋_GB2312" w:cs="仿宋_GB2312"/>
          <w:bCs/>
          <w:sz w:val="28"/>
          <w:szCs w:val="28"/>
          <w:highlight w:val="none"/>
        </w:rPr>
        <w:t>项目名称：</w:t>
      </w:r>
      <w:r>
        <w:rPr>
          <w:rFonts w:hint="eastAsia" w:ascii="仿宋_GB2312" w:hAnsi="仿宋_GB2312" w:eastAsia="仿宋_GB2312" w:cs="仿宋_GB2312"/>
          <w:bCs/>
          <w:sz w:val="28"/>
          <w:szCs w:val="28"/>
          <w:highlight w:val="none"/>
          <w:lang w:val="en-US" w:eastAsia="zh-CN"/>
        </w:rPr>
        <w:t>空港新城城市示范村（靖江区块）四期一号地块项目、会展新城安置房六期二号地块项目有线、无线通信接入（三网合一）工程设计</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8" w:type="dxa"/>
          <w:left w:w="108" w:type="dxa"/>
          <w:bottom w:w="0" w:type="dxa"/>
          <w:right w:w="108" w:type="dxa"/>
        </w:tblCellMar>
      </w:tblPr>
      <w:tblGrid>
        <w:gridCol w:w="1778"/>
        <w:gridCol w:w="6361"/>
      </w:tblGrid>
      <w:tr w14:paraId="2443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0" w:type="dxa"/>
            <w:right w:w="108" w:type="dxa"/>
          </w:tblCellMar>
        </w:tblPrEx>
        <w:trPr>
          <w:trHeight w:val="563" w:hRule="atLeast"/>
          <w:jc w:val="center"/>
        </w:trPr>
        <w:tc>
          <w:tcPr>
            <w:tcW w:w="1778" w:type="dxa"/>
            <w:tcBorders>
              <w:top w:val="single" w:color="auto" w:sz="4" w:space="0"/>
              <w:left w:val="single" w:color="auto" w:sz="4" w:space="0"/>
              <w:bottom w:val="single" w:color="auto" w:sz="4" w:space="0"/>
              <w:right w:val="single" w:color="auto" w:sz="4" w:space="0"/>
            </w:tcBorders>
            <w:noWrap w:val="0"/>
            <w:vAlign w:val="center"/>
          </w:tcPr>
          <w:p w14:paraId="5CD8D0D4">
            <w:pPr>
              <w:jc w:val="center"/>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目  录</w:t>
            </w:r>
          </w:p>
        </w:tc>
        <w:tc>
          <w:tcPr>
            <w:tcW w:w="6361" w:type="dxa"/>
            <w:tcBorders>
              <w:top w:val="single" w:color="auto" w:sz="4" w:space="0"/>
              <w:left w:val="single" w:color="auto" w:sz="4" w:space="0"/>
              <w:bottom w:val="single" w:color="auto" w:sz="4" w:space="0"/>
              <w:right w:val="single" w:color="auto" w:sz="4" w:space="0"/>
            </w:tcBorders>
            <w:noWrap w:val="0"/>
            <w:vAlign w:val="center"/>
          </w:tcPr>
          <w:p w14:paraId="19CDCC33">
            <w:pPr>
              <w:jc w:val="center"/>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内               容</w:t>
            </w:r>
          </w:p>
        </w:tc>
      </w:tr>
      <w:tr w14:paraId="47F2A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0" w:type="dxa"/>
            <w:right w:w="108" w:type="dxa"/>
          </w:tblCellMar>
        </w:tblPrEx>
        <w:trPr>
          <w:trHeight w:val="828" w:hRule="atLeast"/>
          <w:jc w:val="center"/>
        </w:trPr>
        <w:tc>
          <w:tcPr>
            <w:tcW w:w="1778" w:type="dxa"/>
            <w:tcBorders>
              <w:top w:val="single" w:color="auto" w:sz="4" w:space="0"/>
              <w:left w:val="single" w:color="auto" w:sz="4" w:space="0"/>
              <w:right w:val="single" w:color="auto" w:sz="4" w:space="0"/>
            </w:tcBorders>
            <w:noWrap w:val="0"/>
            <w:vAlign w:val="center"/>
          </w:tcPr>
          <w:p w14:paraId="7F370FE9">
            <w:pPr>
              <w:jc w:val="center"/>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项目具体工作任务及要求</w:t>
            </w:r>
          </w:p>
        </w:tc>
        <w:tc>
          <w:tcPr>
            <w:tcW w:w="6361" w:type="dxa"/>
            <w:tcBorders>
              <w:top w:val="single" w:color="auto" w:sz="4" w:space="0"/>
              <w:left w:val="single" w:color="auto" w:sz="4" w:space="0"/>
              <w:right w:val="single" w:color="auto" w:sz="4" w:space="0"/>
            </w:tcBorders>
            <w:noWrap w:val="0"/>
            <w:vAlign w:val="center"/>
          </w:tcPr>
          <w:p w14:paraId="1BDF42FE">
            <w:pPr>
              <w:keepNext w:val="0"/>
              <w:keepLines w:val="0"/>
              <w:pageBreakBefore w:val="0"/>
              <w:widowControl w:val="0"/>
              <w:kinsoku/>
              <w:wordWrap/>
              <w:overflowPunct/>
              <w:topLinePunct w:val="0"/>
              <w:autoSpaceDE/>
              <w:autoSpaceDN/>
              <w:bidi w:val="0"/>
              <w:adjustRightInd w:val="0"/>
              <w:snapToGrid w:val="0"/>
              <w:spacing w:line="216" w:lineRule="auto"/>
              <w:textAlignment w:val="auto"/>
              <w:rPr>
                <w:rFonts w:hint="eastAsia" w:ascii="仿宋_GB2312" w:hAnsi="仿宋_GB2312" w:eastAsia="仿宋_GB2312" w:cs="仿宋_GB2312"/>
                <w:b/>
                <w:bCs w:val="0"/>
                <w:sz w:val="24"/>
                <w:lang w:val="en-US" w:eastAsia="zh-CN"/>
              </w:rPr>
            </w:pPr>
            <w:r>
              <w:rPr>
                <w:rFonts w:hint="eastAsia" w:ascii="仿宋_GB2312" w:hAnsi="仿宋_GB2312" w:eastAsia="仿宋_GB2312" w:cs="仿宋_GB2312"/>
                <w:b/>
                <w:bCs w:val="0"/>
                <w:sz w:val="24"/>
                <w:lang w:val="en-US" w:eastAsia="zh-CN"/>
              </w:rPr>
              <w:t>1、项目情况</w:t>
            </w:r>
          </w:p>
          <w:p w14:paraId="401A4D52">
            <w:pPr>
              <w:spacing w:line="320" w:lineRule="exact"/>
              <w:ind w:firstLine="480" w:firstLineChars="200"/>
              <w:rPr>
                <w:rFonts w:hint="default" w:ascii="仿宋_GB2312" w:hAnsi="仿宋_GB2312" w:eastAsia="仿宋_GB2312" w:cs="仿宋_GB2312"/>
                <w:bCs/>
                <w:sz w:val="24"/>
                <w:lang w:val="en-US" w:eastAsia="zh-CN"/>
              </w:rPr>
            </w:pPr>
            <w:r>
              <w:rPr>
                <w:rFonts w:hint="eastAsia" w:ascii="仿宋_GB2312" w:hAnsi="仿宋_GB2312" w:eastAsia="仿宋_GB2312" w:cs="仿宋_GB2312"/>
                <w:bCs/>
                <w:sz w:val="24"/>
                <w:lang w:val="en-US" w:eastAsia="zh-CN"/>
              </w:rPr>
              <w:t>空港新城城市示范村（靖江区块）四期一号地块项目位于靖江街道花神庙社区。项目总用地面积约44732.00平方米，总建筑面积约138863.48平方米，其中地上建筑面积约90863.48平方米，地下建筑面积约48000.00平方米,规划14幢14层住宅及相关配套。总户数813户。</w:t>
            </w:r>
          </w:p>
          <w:p w14:paraId="633C07AF">
            <w:pPr>
              <w:spacing w:line="320" w:lineRule="exact"/>
              <w:ind w:firstLine="480" w:firstLineChars="200"/>
              <w:rPr>
                <w:rFonts w:hint="eastAsia" w:ascii="仿宋_GB2312" w:hAnsi="仿宋_GB2312" w:eastAsia="仿宋_GB2312" w:cs="仿宋_GB2312"/>
                <w:bCs/>
                <w:sz w:val="24"/>
                <w:lang w:val="en-US" w:eastAsia="zh-CN"/>
              </w:rPr>
            </w:pPr>
            <w:r>
              <w:rPr>
                <w:rFonts w:hint="eastAsia" w:ascii="仿宋_GB2312" w:hAnsi="仿宋_GB2312" w:eastAsia="仿宋_GB2312" w:cs="仿宋_GB2312"/>
                <w:bCs/>
                <w:sz w:val="24"/>
                <w:lang w:val="en-US" w:eastAsia="zh-CN"/>
              </w:rPr>
              <w:t>会展新城安置房六期二号地块项目位于南阳街道。项目总用地面积约38242.00平方米，总建筑面积约110983.00平方米，其中地上建筑面积约76483.00平方米，地下建筑面积约34500.00平方米，规划11幢13-14层住宅及相关配套。总户数614户。</w:t>
            </w:r>
          </w:p>
          <w:p w14:paraId="52019BB6">
            <w:pPr>
              <w:keepNext w:val="0"/>
              <w:keepLines w:val="0"/>
              <w:pageBreakBefore w:val="0"/>
              <w:widowControl w:val="0"/>
              <w:numPr>
                <w:ilvl w:val="0"/>
                <w:numId w:val="0"/>
              </w:numPr>
              <w:kinsoku/>
              <w:wordWrap/>
              <w:overflowPunct/>
              <w:topLinePunct w:val="0"/>
              <w:autoSpaceDE/>
              <w:autoSpaceDN/>
              <w:bidi w:val="0"/>
              <w:adjustRightInd w:val="0"/>
              <w:snapToGrid w:val="0"/>
              <w:spacing w:line="216" w:lineRule="auto"/>
              <w:ind w:leftChars="0"/>
              <w:jc w:val="left"/>
              <w:textAlignment w:val="auto"/>
              <w:rPr>
                <w:rFonts w:hint="eastAsia" w:ascii="仿宋_GB2312" w:hAnsi="仿宋_GB2312" w:eastAsia="仿宋_GB2312" w:cs="仿宋_GB2312"/>
                <w:b/>
                <w:bCs w:val="0"/>
                <w:sz w:val="24"/>
                <w:lang w:val="en-US" w:eastAsia="zh-CN"/>
              </w:rPr>
            </w:pPr>
            <w:r>
              <w:rPr>
                <w:rFonts w:hint="eastAsia" w:ascii="仿宋_GB2312" w:hAnsi="仿宋_GB2312" w:eastAsia="仿宋_GB2312" w:cs="仿宋_GB2312"/>
                <w:b/>
                <w:bCs w:val="0"/>
                <w:sz w:val="24"/>
                <w:lang w:val="en-US" w:eastAsia="zh-CN"/>
              </w:rPr>
              <w:t>2、主要内容</w:t>
            </w:r>
          </w:p>
          <w:p w14:paraId="1829C721">
            <w:pPr>
              <w:spacing w:line="320" w:lineRule="exact"/>
              <w:ind w:firstLine="480" w:firstLineChars="200"/>
              <w:rPr>
                <w:rFonts w:hint="eastAsia" w:ascii="仿宋_GB2312" w:hAnsi="仿宋_GB2312" w:eastAsia="仿宋_GB2312" w:cs="仿宋_GB2312"/>
                <w:bCs/>
                <w:sz w:val="24"/>
                <w:lang w:val="en-US" w:eastAsia="zh-CN"/>
              </w:rPr>
            </w:pPr>
            <w:r>
              <w:rPr>
                <w:rFonts w:hint="eastAsia" w:ascii="仿宋_GB2312" w:hAnsi="仿宋_GB2312" w:eastAsia="仿宋_GB2312" w:cs="仿宋_GB2312"/>
                <w:bCs/>
                <w:sz w:val="24"/>
                <w:lang w:val="en-US" w:eastAsia="zh-CN"/>
              </w:rPr>
              <w:t>本次</w:t>
            </w:r>
            <w:bookmarkStart w:id="3" w:name="OLE_LINK4"/>
            <w:r>
              <w:rPr>
                <w:rFonts w:hint="eastAsia" w:ascii="仿宋_GB2312" w:hAnsi="仿宋_GB2312" w:eastAsia="仿宋_GB2312" w:cs="仿宋_GB2312"/>
                <w:bCs/>
                <w:sz w:val="24"/>
                <w:lang w:val="en-US" w:eastAsia="zh-CN"/>
              </w:rPr>
              <w:t>询价范围</w:t>
            </w:r>
            <w:bookmarkEnd w:id="3"/>
            <w:r>
              <w:rPr>
                <w:rFonts w:hint="eastAsia" w:ascii="仿宋_GB2312" w:hAnsi="仿宋_GB2312" w:eastAsia="仿宋_GB2312" w:cs="仿宋_GB2312"/>
                <w:bCs/>
                <w:sz w:val="24"/>
                <w:lang w:val="en-US" w:eastAsia="zh-CN"/>
              </w:rPr>
              <w:t>包含但不限于：会展新城安置房六期二号地块项目、空港新城城市示范村（靖江区块）四期一号地块项目的有线、无线通信接入（三网合一）工程设计（含地下室、电梯信号覆盖）、勘察、概算、报批报审、技术交底、后续施工配合、设计变更、现场指导、验收结算配合等服务。</w:t>
            </w:r>
          </w:p>
          <w:p w14:paraId="3B1ADA7D">
            <w:pPr>
              <w:spacing w:line="320" w:lineRule="exact"/>
              <w:ind w:firstLine="480" w:firstLineChars="200"/>
              <w:rPr>
                <w:rFonts w:hint="eastAsia" w:ascii="仿宋_GB2312" w:hAnsi="仿宋_GB2312" w:eastAsia="仿宋_GB2312" w:cs="仿宋_GB2312"/>
                <w:bCs/>
                <w:sz w:val="24"/>
                <w:lang w:val="en-US" w:eastAsia="zh-CN"/>
              </w:rPr>
            </w:pPr>
            <w:r>
              <w:rPr>
                <w:rFonts w:hint="eastAsia" w:ascii="仿宋_GB2312" w:hAnsi="仿宋_GB2312" w:eastAsia="仿宋_GB2312" w:cs="仿宋_GB2312"/>
                <w:bCs/>
                <w:sz w:val="24"/>
                <w:lang w:val="en-US" w:eastAsia="zh-CN"/>
              </w:rPr>
              <w:t>本次询价服务内容包括但不限于：1）进行项目现场勘察，熟悉项目总体工程施工进展情况；2）完成有线、无线通信接入（三网合一）系统设计图纸；3）完成有线、无线通信接入（三网合一）系统设计图纸通信办审查并根据意见修改完善图纸，最终需经各家运营商及相关职能部门认可。4）负责提供设计概算；5）负责对有线、无线通信接入（三网合一）工程中标单位的深化图纸进行审核，参与技术交底、施工配合、出具设计变更文件，处理有关设计问题并参加竣工验收。</w:t>
            </w:r>
          </w:p>
          <w:p w14:paraId="56FD85FF">
            <w:pPr>
              <w:keepNext w:val="0"/>
              <w:keepLines w:val="0"/>
              <w:pageBreakBefore w:val="0"/>
              <w:widowControl w:val="0"/>
              <w:kinsoku/>
              <w:wordWrap/>
              <w:overflowPunct/>
              <w:topLinePunct w:val="0"/>
              <w:autoSpaceDE/>
              <w:autoSpaceDN/>
              <w:bidi w:val="0"/>
              <w:adjustRightInd w:val="0"/>
              <w:snapToGrid w:val="0"/>
              <w:spacing w:line="216" w:lineRule="auto"/>
              <w:textAlignment w:val="auto"/>
              <w:rPr>
                <w:rFonts w:hint="eastAsia" w:ascii="仿宋_GB2312" w:hAnsi="仿宋_GB2312" w:eastAsia="仿宋_GB2312" w:cs="仿宋_GB2312"/>
                <w:b/>
                <w:bCs w:val="0"/>
                <w:sz w:val="24"/>
                <w:lang w:val="en-US" w:eastAsia="zh-CN"/>
              </w:rPr>
            </w:pPr>
            <w:r>
              <w:rPr>
                <w:rFonts w:hint="eastAsia" w:ascii="仿宋_GB2312" w:hAnsi="仿宋_GB2312" w:eastAsia="仿宋_GB2312" w:cs="仿宋_GB2312"/>
                <w:b/>
                <w:bCs w:val="0"/>
                <w:sz w:val="24"/>
                <w:lang w:val="en-US" w:eastAsia="zh-CN"/>
              </w:rPr>
              <w:t>3、成果要求</w:t>
            </w:r>
          </w:p>
          <w:p w14:paraId="76D61A1A">
            <w:pPr>
              <w:keepNext w:val="0"/>
              <w:keepLines w:val="0"/>
              <w:pageBreakBefore w:val="0"/>
              <w:widowControl w:val="0"/>
              <w:kinsoku/>
              <w:wordWrap/>
              <w:overflowPunct/>
              <w:topLinePunct w:val="0"/>
              <w:autoSpaceDE/>
              <w:autoSpaceDN/>
              <w:bidi w:val="0"/>
              <w:adjustRightInd w:val="0"/>
              <w:snapToGrid w:val="0"/>
              <w:spacing w:line="216" w:lineRule="auto"/>
              <w:ind w:firstLine="480" w:firstLineChars="200"/>
              <w:textAlignment w:val="auto"/>
              <w:rPr>
                <w:rFonts w:hint="eastAsia" w:ascii="仿宋_GB2312" w:hAnsi="仿宋_GB2312" w:eastAsia="仿宋_GB2312" w:cs="仿宋_GB2312"/>
                <w:bCs/>
                <w:sz w:val="24"/>
                <w:lang w:val="en-US" w:eastAsia="zh-CN"/>
              </w:rPr>
            </w:pPr>
            <w:r>
              <w:rPr>
                <w:rFonts w:hint="eastAsia" w:ascii="仿宋_GB2312" w:hAnsi="仿宋_GB2312" w:eastAsia="仿宋_GB2312" w:cs="仿宋_GB2312"/>
                <w:bCs/>
                <w:sz w:val="24"/>
                <w:lang w:val="en-US" w:eastAsia="zh-CN"/>
              </w:rPr>
              <w:t>提供设计图纸、招标版图纸对应的设计概算等，数量根据甲方要求，不少于15份。</w:t>
            </w:r>
          </w:p>
          <w:p w14:paraId="152E0540">
            <w:pPr>
              <w:keepNext w:val="0"/>
              <w:keepLines w:val="0"/>
              <w:pageBreakBefore w:val="0"/>
              <w:widowControl w:val="0"/>
              <w:kinsoku/>
              <w:wordWrap/>
              <w:overflowPunct/>
              <w:topLinePunct w:val="0"/>
              <w:autoSpaceDE/>
              <w:autoSpaceDN/>
              <w:bidi w:val="0"/>
              <w:adjustRightInd w:val="0"/>
              <w:snapToGrid w:val="0"/>
              <w:spacing w:line="216" w:lineRule="auto"/>
              <w:textAlignment w:val="auto"/>
              <w:rPr>
                <w:rFonts w:hint="eastAsia" w:ascii="仿宋_GB2312" w:hAnsi="仿宋_GB2312" w:eastAsia="仿宋_GB2312" w:cs="仿宋_GB2312"/>
                <w:b/>
                <w:bCs w:val="0"/>
                <w:sz w:val="24"/>
                <w:lang w:val="zh-CN" w:eastAsia="zh-CN"/>
              </w:rPr>
            </w:pPr>
            <w:r>
              <w:rPr>
                <w:rFonts w:hint="eastAsia" w:ascii="仿宋_GB2312" w:hAnsi="仿宋_GB2312" w:eastAsia="仿宋_GB2312" w:cs="仿宋_GB2312"/>
                <w:b/>
                <w:bCs w:val="0"/>
                <w:sz w:val="24"/>
                <w:lang w:val="en-US" w:eastAsia="zh-CN"/>
              </w:rPr>
              <w:t>4、</w:t>
            </w:r>
            <w:r>
              <w:rPr>
                <w:rFonts w:hint="eastAsia" w:ascii="仿宋_GB2312" w:hAnsi="仿宋_GB2312" w:eastAsia="仿宋_GB2312" w:cs="仿宋_GB2312"/>
                <w:b/>
                <w:bCs w:val="0"/>
                <w:sz w:val="24"/>
                <w:lang w:val="zh-CN" w:eastAsia="zh-CN"/>
              </w:rPr>
              <w:t>询价方式</w:t>
            </w:r>
          </w:p>
          <w:p w14:paraId="4C2937D2">
            <w:pPr>
              <w:spacing w:line="320" w:lineRule="exact"/>
              <w:ind w:firstLine="480" w:firstLineChars="200"/>
              <w:rPr>
                <w:rFonts w:hint="eastAsia" w:ascii="仿宋_GB2312" w:hAnsi="仿宋_GB2312" w:eastAsia="仿宋_GB2312" w:cs="仿宋_GB2312"/>
                <w:bCs/>
                <w:sz w:val="24"/>
                <w:lang w:val="en-US" w:eastAsia="zh-CN"/>
              </w:rPr>
            </w:pPr>
            <w:r>
              <w:rPr>
                <w:rFonts w:hint="eastAsia" w:ascii="仿宋_GB2312" w:hAnsi="仿宋_GB2312" w:eastAsia="仿宋_GB2312" w:cs="仿宋_GB2312"/>
                <w:bCs/>
                <w:sz w:val="24"/>
                <w:lang w:val="en-US" w:eastAsia="zh-CN"/>
              </w:rPr>
              <w:t>报价方式为一次报价，以报价</w:t>
            </w:r>
            <w:r>
              <w:rPr>
                <w:rFonts w:hint="eastAsia" w:ascii="仿宋_GB2312" w:hAnsi="仿宋_GB2312" w:eastAsia="仿宋_GB2312" w:cs="仿宋_GB2312"/>
                <w:b/>
                <w:bCs w:val="0"/>
                <w:sz w:val="24"/>
                <w:lang w:val="en-US" w:eastAsia="zh-CN"/>
              </w:rPr>
              <w:t>最低</w:t>
            </w:r>
            <w:r>
              <w:rPr>
                <w:rFonts w:hint="eastAsia" w:ascii="仿宋_GB2312" w:hAnsi="仿宋_GB2312" w:eastAsia="仿宋_GB2312" w:cs="仿宋_GB2312"/>
                <w:bCs/>
                <w:sz w:val="24"/>
                <w:lang w:val="en-US" w:eastAsia="zh-CN"/>
              </w:rPr>
              <w:t>的单位中标（若出现两家及以上单位报价相同且是最低价时采用抽签方式确定）。询价人应当确定排名第一的中标候选人为中标人。排名第一的中标候选人放弃中标、因不可抗力不能履行合同，或者被查实存在影响中标结果的违法行为等情形，不符合中标条件的，询价人可以按中标候选人名单排序依次确定其他中标候选人为中标人。</w:t>
            </w:r>
          </w:p>
          <w:p w14:paraId="29D078D8">
            <w:pPr>
              <w:keepNext w:val="0"/>
              <w:keepLines w:val="0"/>
              <w:pageBreakBefore w:val="0"/>
              <w:widowControl w:val="0"/>
              <w:kinsoku/>
              <w:wordWrap/>
              <w:overflowPunct/>
              <w:topLinePunct w:val="0"/>
              <w:autoSpaceDE/>
              <w:autoSpaceDN/>
              <w:bidi w:val="0"/>
              <w:adjustRightInd w:val="0"/>
              <w:snapToGrid w:val="0"/>
              <w:spacing w:line="216" w:lineRule="auto"/>
              <w:textAlignment w:val="auto"/>
              <w:rPr>
                <w:rFonts w:hint="eastAsia" w:ascii="仿宋_GB2312" w:hAnsi="仿宋_GB2312" w:eastAsia="仿宋_GB2312" w:cs="仿宋_GB2312"/>
                <w:b/>
                <w:bCs w:val="0"/>
                <w:sz w:val="24"/>
                <w:lang w:val="en-US" w:eastAsia="zh-CN"/>
              </w:rPr>
            </w:pPr>
            <w:r>
              <w:rPr>
                <w:rFonts w:hint="eastAsia" w:ascii="仿宋_GB2312" w:hAnsi="仿宋_GB2312" w:eastAsia="仿宋_GB2312" w:cs="仿宋_GB2312"/>
                <w:b/>
                <w:bCs w:val="0"/>
                <w:sz w:val="24"/>
                <w:lang w:val="en-US" w:eastAsia="zh-CN"/>
              </w:rPr>
              <w:t>5、控制价</w:t>
            </w:r>
          </w:p>
          <w:p w14:paraId="63D44BAB">
            <w:pPr>
              <w:keepNext w:val="0"/>
              <w:keepLines w:val="0"/>
              <w:pageBreakBefore w:val="0"/>
              <w:widowControl w:val="0"/>
              <w:kinsoku/>
              <w:wordWrap/>
              <w:overflowPunct/>
              <w:topLinePunct w:val="0"/>
              <w:autoSpaceDE/>
              <w:autoSpaceDN/>
              <w:bidi w:val="0"/>
              <w:adjustRightInd w:val="0"/>
              <w:snapToGrid w:val="0"/>
              <w:spacing w:line="216" w:lineRule="auto"/>
              <w:ind w:firstLine="480" w:firstLineChars="200"/>
              <w:textAlignment w:val="auto"/>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询价控制价为</w:t>
            </w:r>
            <w:r>
              <w:rPr>
                <w:rFonts w:hint="eastAsia" w:ascii="仿宋_GB2312" w:hAnsi="仿宋_GB2312" w:eastAsia="仿宋_GB2312" w:cs="仿宋_GB2312"/>
                <w:b/>
                <w:bCs w:val="0"/>
                <w:color w:val="0000FF"/>
                <w:sz w:val="24"/>
                <w:highlight w:val="none"/>
                <w:lang w:val="en-US" w:eastAsia="zh-CN"/>
              </w:rPr>
              <w:t>14.2413</w:t>
            </w:r>
            <w:r>
              <w:rPr>
                <w:rFonts w:hint="eastAsia" w:ascii="仿宋_GB2312" w:hAnsi="仿宋_GB2312" w:eastAsia="仿宋_GB2312" w:cs="仿宋_GB2312"/>
                <w:b/>
                <w:bCs w:val="0"/>
                <w:sz w:val="24"/>
                <w:highlight w:val="none"/>
                <w:lang w:val="en-US" w:eastAsia="zh-CN"/>
              </w:rPr>
              <w:t>万</w:t>
            </w:r>
            <w:r>
              <w:rPr>
                <w:rFonts w:hint="eastAsia" w:ascii="仿宋_GB2312" w:hAnsi="仿宋_GB2312" w:eastAsia="仿宋_GB2312" w:cs="仿宋_GB2312"/>
                <w:b/>
                <w:bCs w:val="0"/>
                <w:sz w:val="24"/>
                <w:highlight w:val="none"/>
              </w:rPr>
              <w:t>元</w:t>
            </w:r>
            <w:r>
              <w:rPr>
                <w:rFonts w:hint="eastAsia" w:ascii="仿宋_GB2312" w:hAnsi="仿宋_GB2312" w:eastAsia="仿宋_GB2312" w:cs="仿宋_GB2312"/>
                <w:bCs/>
                <w:sz w:val="24"/>
                <w:highlight w:val="none"/>
              </w:rPr>
              <w:t>（设计费率为</w:t>
            </w:r>
            <w:r>
              <w:rPr>
                <w:rFonts w:hint="eastAsia" w:ascii="仿宋_GB2312" w:hAnsi="仿宋_GB2312" w:eastAsia="仿宋_GB2312" w:cs="仿宋_GB2312"/>
                <w:b/>
                <w:bCs w:val="0"/>
                <w:sz w:val="24"/>
                <w:highlight w:val="none"/>
                <w:lang w:val="en-US" w:eastAsia="zh-CN"/>
              </w:rPr>
              <w:t>3</w:t>
            </w:r>
            <w:r>
              <w:rPr>
                <w:rFonts w:hint="eastAsia" w:ascii="仿宋_GB2312" w:hAnsi="仿宋_GB2312" w:eastAsia="仿宋_GB2312" w:cs="仿宋_GB2312"/>
                <w:b/>
                <w:bCs w:val="0"/>
                <w:sz w:val="24"/>
                <w:highlight w:val="none"/>
              </w:rPr>
              <w:t>%</w:t>
            </w:r>
            <w:r>
              <w:rPr>
                <w:rFonts w:hint="eastAsia" w:ascii="仿宋_GB2312" w:hAnsi="仿宋_GB2312" w:eastAsia="仿宋_GB2312" w:cs="仿宋_GB2312"/>
                <w:bCs/>
                <w:sz w:val="24"/>
                <w:highlight w:val="none"/>
              </w:rPr>
              <w:t>，计费基数即暂估工程费为</w:t>
            </w:r>
            <w:r>
              <w:rPr>
                <w:rFonts w:hint="eastAsia" w:ascii="仿宋_GB2312" w:hAnsi="仿宋_GB2312" w:eastAsia="仿宋_GB2312" w:cs="仿宋_GB2312"/>
                <w:bCs/>
                <w:sz w:val="24"/>
                <w:highlight w:val="none"/>
                <w:lang w:val="en-US" w:eastAsia="zh-CN"/>
              </w:rPr>
              <w:t>474.71万</w:t>
            </w:r>
            <w:r>
              <w:rPr>
                <w:rFonts w:hint="eastAsia" w:ascii="仿宋_GB2312" w:hAnsi="仿宋_GB2312" w:eastAsia="仿宋_GB2312" w:cs="仿宋_GB2312"/>
                <w:bCs/>
                <w:sz w:val="24"/>
                <w:highlight w:val="none"/>
              </w:rPr>
              <w:t>元</w:t>
            </w:r>
            <w:r>
              <w:rPr>
                <w:rFonts w:hint="eastAsia" w:ascii="仿宋_GB2312" w:hAnsi="仿宋_GB2312" w:eastAsia="仿宋_GB2312" w:cs="仿宋_GB2312"/>
                <w:bCs/>
                <w:sz w:val="24"/>
                <w:highlight w:val="none"/>
                <w:lang w:eastAsia="zh-CN"/>
              </w:rPr>
              <w:t>，</w:t>
            </w:r>
            <w:r>
              <w:rPr>
                <w:rFonts w:hint="eastAsia" w:ascii="仿宋_GB2312" w:hAnsi="仿宋_GB2312" w:eastAsia="仿宋_GB2312" w:cs="仿宋_GB2312"/>
                <w:bCs/>
                <w:sz w:val="24"/>
                <w:highlight w:val="none"/>
                <w:lang w:val="en-US" w:eastAsia="zh-CN"/>
              </w:rPr>
              <w:t>其中空港新城城市示范村（靖江区块）四期一号地块项目暂估工程费263.84万元、会展新城安置房六期二号地块项目暂估工程费210.87万元</w:t>
            </w:r>
            <w:r>
              <w:rPr>
                <w:rFonts w:hint="eastAsia" w:ascii="仿宋_GB2312" w:hAnsi="仿宋_GB2312" w:eastAsia="仿宋_GB2312" w:cs="仿宋_GB2312"/>
                <w:bCs/>
                <w:sz w:val="24"/>
                <w:highlight w:val="none"/>
              </w:rPr>
              <w:t>）。</w:t>
            </w:r>
          </w:p>
          <w:p w14:paraId="73026D3C">
            <w:pPr>
              <w:keepNext w:val="0"/>
              <w:keepLines w:val="0"/>
              <w:pageBreakBefore w:val="0"/>
              <w:widowControl w:val="0"/>
              <w:kinsoku/>
              <w:wordWrap/>
              <w:overflowPunct/>
              <w:topLinePunct w:val="0"/>
              <w:autoSpaceDE/>
              <w:autoSpaceDN/>
              <w:bidi w:val="0"/>
              <w:adjustRightInd w:val="0"/>
              <w:snapToGrid w:val="0"/>
              <w:spacing w:line="216" w:lineRule="auto"/>
              <w:ind w:firstLine="480" w:firstLineChars="200"/>
              <w:textAlignment w:val="auto"/>
              <w:rPr>
                <w:rFonts w:hint="eastAsia" w:ascii="仿宋_GB2312" w:hAnsi="仿宋_GB2312" w:eastAsia="仿宋_GB2312" w:cs="仿宋_GB2312"/>
                <w:bCs/>
                <w:color w:val="0000FF"/>
                <w:sz w:val="24"/>
                <w:highlight w:val="none"/>
              </w:rPr>
            </w:pPr>
            <w:r>
              <w:rPr>
                <w:rFonts w:hint="eastAsia" w:ascii="仿宋_GB2312" w:hAnsi="仿宋_GB2312" w:eastAsia="仿宋_GB2312" w:cs="仿宋_GB2312"/>
                <w:bCs/>
                <w:sz w:val="24"/>
                <w:highlight w:val="none"/>
                <w:lang w:val="en-US" w:eastAsia="zh-CN"/>
              </w:rPr>
              <w:t>此价款采用</w:t>
            </w:r>
            <w:r>
              <w:rPr>
                <w:rFonts w:hint="eastAsia" w:ascii="仿宋_GB2312" w:hAnsi="仿宋_GB2312" w:eastAsia="仿宋_GB2312" w:cs="仿宋_GB2312"/>
                <w:b/>
                <w:bCs w:val="0"/>
                <w:sz w:val="24"/>
                <w:highlight w:val="none"/>
              </w:rPr>
              <w:t>费率包干</w:t>
            </w:r>
            <w:r>
              <w:rPr>
                <w:rFonts w:hint="eastAsia" w:ascii="仿宋_GB2312" w:hAnsi="仿宋_GB2312" w:eastAsia="仿宋_GB2312" w:cs="仿宋_GB2312"/>
                <w:bCs/>
                <w:sz w:val="24"/>
                <w:highlight w:val="none"/>
                <w:lang w:val="en-US" w:eastAsia="zh-CN"/>
              </w:rPr>
              <w:t>原则</w:t>
            </w:r>
            <w:r>
              <w:rPr>
                <w:rFonts w:hint="eastAsia" w:ascii="仿宋_GB2312" w:hAnsi="仿宋_GB2312" w:eastAsia="仿宋_GB2312" w:cs="仿宋_GB2312"/>
                <w:bCs/>
                <w:sz w:val="24"/>
                <w:highlight w:val="none"/>
              </w:rPr>
              <w:t>，最终调整后合同价根据工程实际中标价按下式调整：调整后合同价=有线、无线通信接入（三网合一）工程中标价×询价中标费率。（最终调整后合同价不得超询价控制价）</w:t>
            </w:r>
          </w:p>
          <w:p w14:paraId="6AB876DC">
            <w:pPr>
              <w:keepNext w:val="0"/>
              <w:keepLines w:val="0"/>
              <w:pageBreakBefore w:val="0"/>
              <w:widowControl w:val="0"/>
              <w:kinsoku/>
              <w:wordWrap/>
              <w:overflowPunct/>
              <w:topLinePunct w:val="0"/>
              <w:autoSpaceDE/>
              <w:autoSpaceDN/>
              <w:bidi w:val="0"/>
              <w:adjustRightInd w:val="0"/>
              <w:snapToGrid w:val="0"/>
              <w:spacing w:line="216" w:lineRule="auto"/>
              <w:ind w:firstLine="480" w:firstLineChars="200"/>
              <w:textAlignment w:val="auto"/>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本次报价的费用包含但不限于为完成本项目的所有服务内容所需一切人工、管理、驻场服务、专家评审、会务、资料、交通、差旅、办公、文印、赶工等费用、利润和按国家规定应缴纳的税金等，以及勘察费、设计费、估算概算编制费用、报批审查、与运营商和职能部门沟通对接等费用，并包含技术交底、施工配合、出具设计变更文件、施工验收配合等所有的后续跟踪服务的一切费用。请设计单位自行考量成本合理报价。</w:t>
            </w:r>
          </w:p>
        </w:tc>
      </w:tr>
      <w:tr w14:paraId="1EC7A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0" w:type="dxa"/>
            <w:right w:w="108" w:type="dxa"/>
          </w:tblCellMar>
        </w:tblPrEx>
        <w:trPr>
          <w:trHeight w:val="4199" w:hRule="atLeast"/>
          <w:jc w:val="center"/>
        </w:trPr>
        <w:tc>
          <w:tcPr>
            <w:tcW w:w="1778" w:type="dxa"/>
            <w:tcBorders>
              <w:top w:val="single" w:color="auto" w:sz="4" w:space="0"/>
              <w:left w:val="single" w:color="auto" w:sz="4" w:space="0"/>
              <w:right w:val="single" w:color="auto" w:sz="4" w:space="0"/>
            </w:tcBorders>
            <w:noWrap w:val="0"/>
            <w:vAlign w:val="center"/>
          </w:tcPr>
          <w:p w14:paraId="5433C217">
            <w:pPr>
              <w:jc w:val="center"/>
              <w:rPr>
                <w:rFonts w:hint="default" w:ascii="仿宋_GB2312" w:hAnsi="仿宋_GB2312" w:eastAsia="仿宋_GB2312" w:cs="仿宋_GB2312"/>
                <w:bCs/>
                <w:sz w:val="24"/>
                <w:highlight w:val="none"/>
                <w:lang w:val="en-US" w:eastAsia="zh-CN"/>
              </w:rPr>
            </w:pPr>
            <w:r>
              <w:rPr>
                <w:rFonts w:hint="eastAsia" w:ascii="仿宋_GB2312" w:hAnsi="仿宋_GB2312" w:eastAsia="仿宋_GB2312" w:cs="仿宋_GB2312"/>
                <w:bCs/>
                <w:sz w:val="24"/>
                <w:highlight w:val="none"/>
                <w:lang w:val="en-US" w:eastAsia="zh-CN"/>
              </w:rPr>
              <w:t>资质及业绩要求</w:t>
            </w:r>
          </w:p>
        </w:tc>
        <w:tc>
          <w:tcPr>
            <w:tcW w:w="6361" w:type="dxa"/>
            <w:tcBorders>
              <w:top w:val="single" w:color="auto" w:sz="4" w:space="0"/>
              <w:left w:val="single" w:color="auto" w:sz="4" w:space="0"/>
              <w:right w:val="single" w:color="auto" w:sz="4" w:space="0"/>
            </w:tcBorders>
            <w:noWrap w:val="0"/>
            <w:vAlign w:val="center"/>
          </w:tcPr>
          <w:p w14:paraId="696B4C11">
            <w:pPr>
              <w:keepNext w:val="0"/>
              <w:keepLines w:val="0"/>
              <w:pageBreakBefore w:val="0"/>
              <w:widowControl w:val="0"/>
              <w:kinsoku/>
              <w:wordWrap/>
              <w:overflowPunct/>
              <w:topLinePunct w:val="0"/>
              <w:autoSpaceDE/>
              <w:autoSpaceDN/>
              <w:bidi w:val="0"/>
              <w:adjustRightInd w:val="0"/>
              <w:snapToGrid w:val="0"/>
              <w:spacing w:line="216" w:lineRule="auto"/>
              <w:textAlignment w:val="auto"/>
              <w:rPr>
                <w:rFonts w:hint="eastAsia" w:ascii="仿宋_GB2312" w:hAnsi="仿宋_GB2312" w:eastAsia="仿宋_GB2312" w:cs="仿宋_GB2312"/>
                <w:bCs/>
                <w:sz w:val="24"/>
                <w:lang w:val="en-US" w:eastAsia="zh-CN"/>
              </w:rPr>
            </w:pPr>
            <w:r>
              <w:rPr>
                <w:rFonts w:hint="eastAsia" w:ascii="仿宋_GB2312" w:hAnsi="仿宋_GB2312" w:eastAsia="仿宋_GB2312" w:cs="仿宋_GB2312"/>
                <w:bCs/>
                <w:sz w:val="24"/>
                <w:lang w:val="en-US" w:eastAsia="zh-CN"/>
              </w:rPr>
              <w:t>1、设计单位的设计资质应具备电子通信广电行业（有线通信、无线通信、通信铁塔）专业乙级及以上资质，同时具备工程勘察专业类（工程测量）乙级及以上资质。</w:t>
            </w:r>
          </w:p>
          <w:p w14:paraId="36ED1C44">
            <w:pPr>
              <w:keepNext w:val="0"/>
              <w:keepLines w:val="0"/>
              <w:pageBreakBefore w:val="0"/>
              <w:widowControl w:val="0"/>
              <w:kinsoku/>
              <w:wordWrap/>
              <w:overflowPunct/>
              <w:topLinePunct w:val="0"/>
              <w:autoSpaceDE/>
              <w:autoSpaceDN/>
              <w:bidi w:val="0"/>
              <w:adjustRightInd w:val="0"/>
              <w:snapToGrid w:val="0"/>
              <w:spacing w:line="216" w:lineRule="auto"/>
              <w:textAlignment w:val="auto"/>
              <w:rPr>
                <w:rFonts w:hint="eastAsia" w:ascii="仿宋_GB2312" w:hAnsi="仿宋_GB2312" w:eastAsia="仿宋_GB2312" w:cs="仿宋_GB2312"/>
                <w:bCs/>
                <w:sz w:val="24"/>
                <w:lang w:val="en-US" w:eastAsia="zh-CN"/>
              </w:rPr>
            </w:pPr>
            <w:r>
              <w:rPr>
                <w:rFonts w:hint="eastAsia" w:ascii="仿宋_GB2312" w:hAnsi="仿宋_GB2312" w:eastAsia="仿宋_GB2312" w:cs="仿宋_GB2312"/>
                <w:bCs/>
                <w:sz w:val="24"/>
                <w:lang w:val="en-US" w:eastAsia="zh-CN"/>
              </w:rPr>
              <w:t>2、项目负责人具备高级工程师及以上职称、咨询工程师（投资）【专业为电子、信息工程（含通信、广电、信息化）】执业资格。</w:t>
            </w:r>
          </w:p>
          <w:p w14:paraId="58E229F4">
            <w:pPr>
              <w:keepNext w:val="0"/>
              <w:keepLines w:val="0"/>
              <w:pageBreakBefore w:val="0"/>
              <w:widowControl w:val="0"/>
              <w:kinsoku/>
              <w:wordWrap/>
              <w:overflowPunct/>
              <w:topLinePunct w:val="0"/>
              <w:autoSpaceDE/>
              <w:autoSpaceDN/>
              <w:bidi w:val="0"/>
              <w:adjustRightInd w:val="0"/>
              <w:snapToGrid w:val="0"/>
              <w:spacing w:line="216" w:lineRule="auto"/>
              <w:textAlignment w:val="auto"/>
              <w:rPr>
                <w:rFonts w:hint="eastAsia" w:ascii="仿宋_GB2312" w:hAnsi="仿宋_GB2312" w:eastAsia="仿宋_GB2312" w:cs="仿宋_GB2312"/>
                <w:bCs/>
                <w:sz w:val="24"/>
                <w:lang w:val="en-US" w:eastAsia="zh-CN"/>
              </w:rPr>
            </w:pPr>
            <w:r>
              <w:rPr>
                <w:rFonts w:hint="eastAsia" w:ascii="仿宋_GB2312" w:hAnsi="仿宋_GB2312" w:eastAsia="仿宋_GB2312" w:cs="仿宋_GB2312"/>
                <w:bCs/>
                <w:sz w:val="24"/>
                <w:lang w:val="en-US" w:eastAsia="zh-CN"/>
              </w:rPr>
              <w:t>3、参与询价的单位还需提供</w:t>
            </w:r>
            <w:bookmarkStart w:id="4" w:name="_GoBack"/>
            <w:bookmarkEnd w:id="4"/>
            <w:r>
              <w:rPr>
                <w:rFonts w:hint="eastAsia" w:ascii="仿宋_GB2312" w:hAnsi="仿宋_GB2312" w:eastAsia="仿宋_GB2312" w:cs="仿宋_GB2312"/>
                <w:bCs/>
                <w:sz w:val="24"/>
                <w:lang w:val="en-US" w:eastAsia="zh-CN"/>
              </w:rPr>
              <w:t>2020年7月1日以来投标人承接过住宅项目通信工程设计1个。</w:t>
            </w:r>
          </w:p>
          <w:p w14:paraId="1260B86D">
            <w:pPr>
              <w:keepNext w:val="0"/>
              <w:keepLines w:val="0"/>
              <w:pageBreakBefore w:val="0"/>
              <w:widowControl w:val="0"/>
              <w:kinsoku/>
              <w:wordWrap/>
              <w:overflowPunct/>
              <w:topLinePunct w:val="0"/>
              <w:autoSpaceDE/>
              <w:autoSpaceDN/>
              <w:bidi w:val="0"/>
              <w:adjustRightInd w:val="0"/>
              <w:snapToGrid w:val="0"/>
              <w:spacing w:line="216" w:lineRule="auto"/>
              <w:textAlignment w:val="auto"/>
              <w:rPr>
                <w:rFonts w:hint="eastAsia" w:ascii="仿宋_GB2312" w:hAnsi="仿宋_GB2312" w:eastAsia="仿宋_GB2312" w:cs="仿宋_GB2312"/>
                <w:bCs/>
                <w:sz w:val="24"/>
                <w:lang w:val="en-US" w:eastAsia="zh-CN"/>
              </w:rPr>
            </w:pPr>
            <w:r>
              <w:rPr>
                <w:rFonts w:hint="eastAsia" w:ascii="仿宋_GB2312" w:hAnsi="仿宋_GB2312" w:eastAsia="仿宋_GB2312" w:cs="仿宋_GB2312"/>
                <w:bCs/>
                <w:sz w:val="24"/>
                <w:lang w:val="en-US" w:eastAsia="zh-CN"/>
              </w:rPr>
              <w:t>注：【有效证明材料：设计合同复印件加盖公章，对不能证明项目属性的，需提供设计批复文件或其他相关文件。】</w:t>
            </w:r>
          </w:p>
        </w:tc>
      </w:tr>
      <w:tr w14:paraId="25966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0" w:type="dxa"/>
            <w:right w:w="108" w:type="dxa"/>
          </w:tblCellMar>
        </w:tblPrEx>
        <w:trPr>
          <w:trHeight w:val="1319" w:hRule="atLeast"/>
          <w:jc w:val="center"/>
        </w:trPr>
        <w:tc>
          <w:tcPr>
            <w:tcW w:w="1778" w:type="dxa"/>
            <w:tcBorders>
              <w:top w:val="single" w:color="auto" w:sz="4" w:space="0"/>
              <w:left w:val="single" w:color="auto" w:sz="4" w:space="0"/>
              <w:right w:val="single" w:color="auto" w:sz="4" w:space="0"/>
            </w:tcBorders>
            <w:noWrap w:val="0"/>
            <w:vAlign w:val="center"/>
          </w:tcPr>
          <w:p w14:paraId="3D13B02C">
            <w:pPr>
              <w:jc w:val="center"/>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lang w:val="en-US" w:eastAsia="zh-CN"/>
              </w:rPr>
              <w:t>报价材料递交时间及地点</w:t>
            </w:r>
          </w:p>
        </w:tc>
        <w:tc>
          <w:tcPr>
            <w:tcW w:w="6361" w:type="dxa"/>
            <w:tcBorders>
              <w:top w:val="single" w:color="auto" w:sz="4" w:space="0"/>
              <w:left w:val="single" w:color="auto" w:sz="4" w:space="0"/>
              <w:right w:val="single" w:color="auto" w:sz="4" w:space="0"/>
            </w:tcBorders>
            <w:noWrap w:val="0"/>
            <w:vAlign w:val="center"/>
          </w:tcPr>
          <w:p w14:paraId="394C3020">
            <w:pPr>
              <w:rPr>
                <w:rFonts w:hint="eastAsia" w:ascii="仿宋_GB2312" w:hAnsi="仿宋_GB2312" w:eastAsia="仿宋_GB2312" w:cs="仿宋_GB2312"/>
                <w:bCs/>
                <w:kern w:val="2"/>
                <w:sz w:val="24"/>
                <w:szCs w:val="24"/>
                <w:highlight w:val="none"/>
                <w:lang w:val="en-US" w:eastAsia="zh-CN" w:bidi="ar-SA"/>
              </w:rPr>
            </w:pPr>
            <w:r>
              <w:rPr>
                <w:rFonts w:hint="eastAsia" w:ascii="仿宋_GB2312" w:hAnsi="仿宋_GB2312" w:eastAsia="仿宋_GB2312" w:cs="仿宋_GB2312"/>
                <w:bCs/>
                <w:kern w:val="2"/>
                <w:sz w:val="24"/>
                <w:szCs w:val="24"/>
                <w:highlight w:val="none"/>
                <w:lang w:val="en-US" w:eastAsia="zh-CN" w:bidi="ar-SA"/>
              </w:rPr>
              <w:t>本项目拟在“杭州市临空建设投资集团有限公司采购监管平台”（http://47.111.88.12）发布询价公告，具体同步在招必得平台（https://www.zhaobide.com）进行询价。请参与询价的单位</w:t>
            </w:r>
            <w:r>
              <w:rPr>
                <w:rFonts w:hint="eastAsia" w:ascii="仿宋_GB2312" w:hAnsi="仿宋_GB2312" w:eastAsia="仿宋_GB2312" w:cs="仿宋_GB2312"/>
                <w:bCs/>
                <w:color w:val="0000FF"/>
                <w:kern w:val="2"/>
                <w:sz w:val="24"/>
                <w:szCs w:val="24"/>
                <w:highlight w:val="none"/>
                <w:lang w:val="en-US" w:eastAsia="zh-CN" w:bidi="ar-SA"/>
              </w:rPr>
              <w:t>于2025年11：28日15:00</w:t>
            </w:r>
            <w:r>
              <w:rPr>
                <w:rFonts w:hint="eastAsia" w:ascii="仿宋_GB2312" w:hAnsi="仿宋_GB2312" w:eastAsia="仿宋_GB2312" w:cs="仿宋_GB2312"/>
                <w:bCs/>
                <w:kern w:val="2"/>
                <w:sz w:val="24"/>
                <w:szCs w:val="24"/>
                <w:highlight w:val="none"/>
                <w:lang w:val="en-US" w:eastAsia="zh-CN" w:bidi="ar-SA"/>
              </w:rPr>
              <w:t>前登录相关线上平台进行交易。</w:t>
            </w:r>
          </w:p>
          <w:p w14:paraId="36D43D3F">
            <w:pPr>
              <w:rPr>
                <w:rFonts w:hint="eastAsia" w:ascii="仿宋_GB2312" w:hAnsi="仿宋_GB2312" w:eastAsia="仿宋_GB2312" w:cs="仿宋_GB2312"/>
                <w:bCs/>
                <w:kern w:val="2"/>
                <w:sz w:val="24"/>
                <w:szCs w:val="24"/>
                <w:lang w:val="en-US" w:eastAsia="zh-CN" w:bidi="ar-SA"/>
              </w:rPr>
            </w:pPr>
            <w:r>
              <w:rPr>
                <w:rFonts w:hint="eastAsia" w:ascii="仿宋_GB2312" w:hAnsi="仿宋_GB2312" w:eastAsia="仿宋_GB2312" w:cs="仿宋_GB2312"/>
                <w:bCs/>
                <w:kern w:val="2"/>
                <w:sz w:val="24"/>
                <w:szCs w:val="24"/>
                <w:highlight w:val="none"/>
                <w:lang w:val="en-US" w:eastAsia="zh-CN" w:bidi="ar-SA"/>
              </w:rPr>
              <w:t>参与询价的单位需要提供的资料</w:t>
            </w:r>
            <w:r>
              <w:rPr>
                <w:rFonts w:hint="eastAsia" w:ascii="仿宋_GB2312" w:hAnsi="仿宋_GB2312" w:eastAsia="仿宋_GB2312" w:cs="仿宋_GB2312"/>
                <w:bCs/>
                <w:kern w:val="2"/>
                <w:sz w:val="24"/>
                <w:szCs w:val="24"/>
                <w:lang w:val="en-US" w:eastAsia="zh-CN" w:bidi="ar-SA"/>
              </w:rPr>
              <w:t>：</w:t>
            </w:r>
          </w:p>
          <w:p w14:paraId="5555E564">
            <w:pPr>
              <w:rPr>
                <w:rFonts w:hint="eastAsia" w:ascii="仿宋_GB2312" w:hAnsi="仿宋_GB2312" w:eastAsia="仿宋_GB2312" w:cs="仿宋_GB2312"/>
                <w:bCs/>
                <w:kern w:val="2"/>
                <w:sz w:val="24"/>
                <w:szCs w:val="24"/>
                <w:lang w:val="en-US" w:eastAsia="zh-CN" w:bidi="ar-SA"/>
              </w:rPr>
            </w:pPr>
            <w:r>
              <w:rPr>
                <w:rFonts w:hint="eastAsia" w:ascii="仿宋_GB2312" w:hAnsi="仿宋_GB2312" w:eastAsia="仿宋_GB2312" w:cs="仿宋_GB2312"/>
                <w:bCs/>
                <w:kern w:val="2"/>
                <w:sz w:val="24"/>
                <w:szCs w:val="24"/>
                <w:lang w:val="en-US" w:eastAsia="zh-CN" w:bidi="ar-SA"/>
              </w:rPr>
              <w:t>1、报价表（即本表）加盖公章、委托代理人签字；</w:t>
            </w:r>
          </w:p>
          <w:p w14:paraId="1F1D69BE">
            <w:pPr>
              <w:rPr>
                <w:rFonts w:hint="eastAsia" w:ascii="仿宋_GB2312" w:hAnsi="仿宋_GB2312" w:eastAsia="仿宋_GB2312" w:cs="仿宋_GB2312"/>
                <w:bCs/>
                <w:kern w:val="2"/>
                <w:sz w:val="24"/>
                <w:szCs w:val="24"/>
                <w:lang w:val="en-US" w:eastAsia="zh-CN" w:bidi="ar-SA"/>
              </w:rPr>
            </w:pPr>
            <w:r>
              <w:rPr>
                <w:rFonts w:hint="eastAsia" w:ascii="仿宋_GB2312" w:hAnsi="仿宋_GB2312" w:eastAsia="仿宋_GB2312" w:cs="仿宋_GB2312"/>
                <w:bCs/>
                <w:kern w:val="2"/>
                <w:sz w:val="24"/>
                <w:szCs w:val="24"/>
                <w:lang w:val="en-US" w:eastAsia="zh-CN" w:bidi="ar-SA"/>
              </w:rPr>
              <w:t>2、营业执照、资质证书复印件加盖公章；</w:t>
            </w:r>
          </w:p>
          <w:p w14:paraId="589C302B">
            <w:pPr>
              <w:rPr>
                <w:rFonts w:hint="eastAsia" w:ascii="仿宋_GB2312" w:hAnsi="仿宋_GB2312" w:eastAsia="仿宋_GB2312" w:cs="仿宋_GB2312"/>
                <w:bCs/>
                <w:kern w:val="2"/>
                <w:sz w:val="24"/>
                <w:szCs w:val="24"/>
                <w:lang w:val="en-US" w:eastAsia="zh-CN" w:bidi="ar-SA"/>
              </w:rPr>
            </w:pPr>
            <w:r>
              <w:rPr>
                <w:rFonts w:hint="eastAsia" w:ascii="仿宋_GB2312" w:hAnsi="仿宋_GB2312" w:eastAsia="仿宋_GB2312" w:cs="仿宋_GB2312"/>
                <w:bCs/>
                <w:kern w:val="2"/>
                <w:sz w:val="24"/>
                <w:szCs w:val="24"/>
                <w:lang w:val="en-US" w:eastAsia="zh-CN" w:bidi="ar-SA"/>
              </w:rPr>
              <w:t>3、</w:t>
            </w:r>
            <w:r>
              <w:rPr>
                <w:rFonts w:hint="eastAsia" w:ascii="仿宋_GB2312" w:hAnsi="仿宋_GB2312" w:eastAsia="仿宋_GB2312" w:cs="仿宋_GB2312"/>
                <w:bCs/>
                <w:kern w:val="2"/>
                <w:sz w:val="24"/>
                <w:szCs w:val="24"/>
                <w:highlight w:val="none"/>
                <w:lang w:val="en-US" w:eastAsia="zh-CN" w:bidi="ar-SA"/>
              </w:rPr>
              <w:t>公司资质、业绩证明材料</w:t>
            </w:r>
            <w:r>
              <w:rPr>
                <w:rFonts w:hint="eastAsia" w:ascii="仿宋_GB2312" w:hAnsi="仿宋_GB2312" w:eastAsia="仿宋_GB2312" w:cs="仿宋_GB2312"/>
                <w:bCs/>
                <w:kern w:val="2"/>
                <w:sz w:val="24"/>
                <w:szCs w:val="24"/>
                <w:lang w:val="en-US" w:eastAsia="zh-CN" w:bidi="ar-SA"/>
              </w:rPr>
              <w:t>加盖公章（建议参与询价的单位根据资质及业绩要求在相关资料中标注出需证明的内容）；</w:t>
            </w:r>
          </w:p>
          <w:p w14:paraId="50C9A5B3">
            <w:pPr>
              <w:rPr>
                <w:rFonts w:hint="eastAsia" w:ascii="仿宋_GB2312" w:hAnsi="仿宋_GB2312" w:eastAsia="仿宋_GB2312" w:cs="仿宋_GB2312"/>
                <w:bCs/>
                <w:kern w:val="2"/>
                <w:sz w:val="24"/>
                <w:szCs w:val="24"/>
                <w:lang w:val="en-US" w:eastAsia="zh-CN" w:bidi="ar-SA"/>
              </w:rPr>
            </w:pPr>
            <w:r>
              <w:rPr>
                <w:rFonts w:hint="eastAsia" w:ascii="仿宋_GB2312" w:hAnsi="仿宋_GB2312" w:eastAsia="仿宋_GB2312" w:cs="仿宋_GB2312"/>
                <w:bCs/>
                <w:kern w:val="2"/>
                <w:sz w:val="24"/>
                <w:szCs w:val="24"/>
                <w:lang w:val="en-US" w:eastAsia="zh-CN" w:bidi="ar-SA"/>
              </w:rPr>
              <w:t>4、项目负责人职称证书及执业资格证书复印件；</w:t>
            </w:r>
          </w:p>
          <w:p w14:paraId="2131AC7E">
            <w:pPr>
              <w:rPr>
                <w:rFonts w:hint="eastAsia" w:ascii="仿宋_GB2312" w:hAnsi="仿宋_GB2312" w:eastAsia="仿宋_GB2312" w:cs="仿宋_GB2312"/>
                <w:bCs/>
                <w:kern w:val="2"/>
                <w:sz w:val="24"/>
                <w:szCs w:val="24"/>
                <w:lang w:val="en-US" w:eastAsia="zh-CN" w:bidi="ar-SA"/>
              </w:rPr>
            </w:pPr>
            <w:r>
              <w:rPr>
                <w:rFonts w:hint="eastAsia" w:ascii="仿宋_GB2312" w:hAnsi="仿宋_GB2312" w:eastAsia="仿宋_GB2312" w:cs="仿宋_GB2312"/>
                <w:bCs/>
                <w:kern w:val="2"/>
                <w:sz w:val="24"/>
                <w:szCs w:val="24"/>
                <w:lang w:val="en-US" w:eastAsia="zh-CN" w:bidi="ar-SA"/>
              </w:rPr>
              <w:t>5、法人代表授权书加盖公章、法人签字或盖章；</w:t>
            </w:r>
          </w:p>
          <w:p w14:paraId="50647E45">
            <w:pPr>
              <w:rPr>
                <w:rFonts w:hint="eastAsia" w:ascii="仿宋_GB2312" w:hAnsi="仿宋_GB2312" w:eastAsia="仿宋_GB2312" w:cs="仿宋_GB2312"/>
                <w:bCs/>
                <w:kern w:val="2"/>
                <w:sz w:val="24"/>
                <w:szCs w:val="24"/>
                <w:lang w:val="en-US" w:eastAsia="zh-CN" w:bidi="ar-SA"/>
              </w:rPr>
            </w:pPr>
            <w:r>
              <w:rPr>
                <w:rFonts w:hint="eastAsia" w:ascii="仿宋_GB2312" w:hAnsi="仿宋_GB2312" w:eastAsia="仿宋_GB2312" w:cs="仿宋_GB2312"/>
                <w:bCs/>
                <w:kern w:val="2"/>
                <w:sz w:val="24"/>
                <w:szCs w:val="24"/>
                <w:lang w:val="en-US" w:eastAsia="zh-CN" w:bidi="ar-SA"/>
              </w:rPr>
              <w:t>6、授权人及法人身份证复印件加盖公章。</w:t>
            </w:r>
          </w:p>
          <w:p w14:paraId="63FDCDCF">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仿宋_GB2312" w:hAnsi="仿宋_GB2312" w:eastAsia="仿宋_GB2312" w:cs="仿宋_GB2312"/>
                <w:bCs/>
                <w:sz w:val="24"/>
                <w:lang w:val="en-US" w:eastAsia="zh-CN"/>
              </w:rPr>
            </w:pPr>
            <w:r>
              <w:rPr>
                <w:rFonts w:hint="eastAsia" w:ascii="仿宋_GB2312" w:hAnsi="仿宋_GB2312" w:eastAsia="仿宋_GB2312" w:cs="仿宋_GB2312"/>
                <w:bCs/>
                <w:kern w:val="2"/>
                <w:sz w:val="24"/>
                <w:szCs w:val="24"/>
                <w:lang w:val="en-US" w:eastAsia="zh-CN" w:bidi="ar-SA"/>
              </w:rPr>
              <w:t>7、委托代理人身份证复印件加盖公章。</w:t>
            </w:r>
          </w:p>
        </w:tc>
      </w:tr>
      <w:tr w14:paraId="471B5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0" w:type="dxa"/>
            <w:right w:w="108" w:type="dxa"/>
          </w:tblCellMar>
        </w:tblPrEx>
        <w:trPr>
          <w:trHeight w:val="879" w:hRule="atLeast"/>
          <w:jc w:val="center"/>
        </w:trPr>
        <w:tc>
          <w:tcPr>
            <w:tcW w:w="1778" w:type="dxa"/>
            <w:tcBorders>
              <w:top w:val="single" w:color="auto" w:sz="4" w:space="0"/>
              <w:left w:val="single" w:color="auto" w:sz="4" w:space="0"/>
              <w:bottom w:val="single" w:color="auto" w:sz="4" w:space="0"/>
              <w:right w:val="single" w:color="auto" w:sz="4" w:space="0"/>
            </w:tcBorders>
            <w:noWrap w:val="0"/>
            <w:vAlign w:val="center"/>
          </w:tcPr>
          <w:p w14:paraId="15327A32">
            <w:pPr>
              <w:snapToGrid w:val="0"/>
              <w:jc w:val="center"/>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本项目要求</w:t>
            </w:r>
          </w:p>
          <w:p w14:paraId="04235F83">
            <w:pPr>
              <w:snapToGrid w:val="0"/>
              <w:jc w:val="center"/>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完成的时间</w:t>
            </w:r>
          </w:p>
        </w:tc>
        <w:tc>
          <w:tcPr>
            <w:tcW w:w="6361" w:type="dxa"/>
            <w:tcBorders>
              <w:top w:val="single" w:color="auto" w:sz="4" w:space="0"/>
              <w:left w:val="single" w:color="auto" w:sz="4" w:space="0"/>
              <w:right w:val="single" w:color="auto" w:sz="4" w:space="0"/>
            </w:tcBorders>
            <w:noWrap w:val="0"/>
            <w:vAlign w:val="center"/>
          </w:tcPr>
          <w:p w14:paraId="42D048D7">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firstLine="480" w:firstLineChars="200"/>
              <w:textAlignment w:val="auto"/>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设计工期为合同签订之日起至项目竣备前完成通网工作。乙方应在中标通知书发出后按甲方要求提前介入及配合，具体工程设计周期以甲方指令为准。</w:t>
            </w:r>
          </w:p>
          <w:p w14:paraId="2AB1B309">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firstLine="480" w:firstLineChars="200"/>
              <w:textAlignment w:val="auto"/>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乙方须在运营商方案评审后10天内完成设计修改；负责提供招标版图纸对应的设计概算并配合业主方进行招标文件的技术要求编制，具体完成时间以甲方通知为准；后续图纸向相关职能部门报审及验收工作需匹配项目整体建设进度，项目竣工验收前如有相关变更需积极配合完成。</w:t>
            </w:r>
          </w:p>
          <w:p w14:paraId="3A041B57">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firstLine="480" w:firstLineChars="200"/>
              <w:textAlignment w:val="auto"/>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如遇不可抗力影响及甲方原因造成的停、窝工的特殊情况时，工期顺延，费用不予增加。</w:t>
            </w:r>
          </w:p>
        </w:tc>
      </w:tr>
      <w:tr w14:paraId="6571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0" w:type="dxa"/>
            <w:right w:w="108" w:type="dxa"/>
          </w:tblCellMar>
        </w:tblPrEx>
        <w:trPr>
          <w:trHeight w:val="879" w:hRule="atLeast"/>
          <w:jc w:val="center"/>
        </w:trPr>
        <w:tc>
          <w:tcPr>
            <w:tcW w:w="1778" w:type="dxa"/>
            <w:tcBorders>
              <w:top w:val="single" w:color="auto" w:sz="4" w:space="0"/>
              <w:left w:val="single" w:color="auto" w:sz="4" w:space="0"/>
              <w:bottom w:val="single" w:color="auto" w:sz="4" w:space="0"/>
              <w:right w:val="single" w:color="auto" w:sz="4" w:space="0"/>
            </w:tcBorders>
            <w:noWrap w:val="0"/>
            <w:vAlign w:val="center"/>
          </w:tcPr>
          <w:p w14:paraId="52E55319">
            <w:pPr>
              <w:snapToGrid w:val="0"/>
              <w:jc w:val="center"/>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本项目工作</w:t>
            </w:r>
          </w:p>
          <w:p w14:paraId="79463490">
            <w:pPr>
              <w:snapToGrid w:val="0"/>
              <w:jc w:val="center"/>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质量要求</w:t>
            </w:r>
          </w:p>
        </w:tc>
        <w:tc>
          <w:tcPr>
            <w:tcW w:w="6361" w:type="dxa"/>
            <w:tcBorders>
              <w:top w:val="single" w:color="auto" w:sz="4" w:space="0"/>
              <w:left w:val="single" w:color="auto" w:sz="4" w:space="0"/>
              <w:right w:val="single" w:color="auto" w:sz="4" w:space="0"/>
            </w:tcBorders>
            <w:noWrap w:val="0"/>
            <w:vAlign w:val="center"/>
          </w:tcPr>
          <w:p w14:paraId="652087CD">
            <w:pPr>
              <w:spacing w:line="320" w:lineRule="exact"/>
              <w:ind w:firstLine="480" w:firstLineChars="200"/>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本项目有线、无线通信接入（三网合一）工程设计需与移动通信行业发展前景相匹配，同时以需求为导向，满足</w:t>
            </w:r>
            <w:r>
              <w:rPr>
                <w:rFonts w:hint="eastAsia" w:ascii="仿宋_GB2312" w:hAnsi="仿宋_GB2312" w:eastAsia="仿宋_GB2312" w:cs="仿宋_GB2312"/>
                <w:bCs/>
                <w:sz w:val="24"/>
                <w:highlight w:val="none"/>
                <w:lang w:val="en-US" w:eastAsia="zh-CN"/>
              </w:rPr>
              <w:t>使用者</w:t>
            </w:r>
            <w:r>
              <w:rPr>
                <w:rFonts w:hint="eastAsia" w:ascii="仿宋_GB2312" w:hAnsi="仿宋_GB2312" w:eastAsia="仿宋_GB2312" w:cs="仿宋_GB2312"/>
                <w:bCs/>
                <w:sz w:val="24"/>
                <w:highlight w:val="none"/>
              </w:rPr>
              <w:t>的需求。设计图纸需满足国家规范及省标要求，满足甲方要求并经过各家运营商</w:t>
            </w:r>
            <w:r>
              <w:rPr>
                <w:rFonts w:hint="eastAsia" w:ascii="仿宋_GB2312" w:hAnsi="仿宋_GB2312" w:eastAsia="仿宋_GB2312" w:cs="仿宋_GB2312"/>
                <w:bCs/>
                <w:sz w:val="24"/>
                <w:highlight w:val="none"/>
                <w:lang w:val="en-US" w:eastAsia="zh-CN"/>
              </w:rPr>
              <w:t>及</w:t>
            </w:r>
            <w:r>
              <w:rPr>
                <w:rFonts w:hint="eastAsia" w:ascii="仿宋_GB2312" w:hAnsi="仿宋_GB2312" w:eastAsia="仿宋_GB2312" w:cs="仿宋_GB2312"/>
                <w:bCs/>
                <w:sz w:val="24"/>
                <w:highlight w:val="none"/>
              </w:rPr>
              <w:t>相关职能部门认可。</w:t>
            </w:r>
          </w:p>
        </w:tc>
      </w:tr>
      <w:tr w14:paraId="1A1B2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0" w:type="dxa"/>
            <w:right w:w="108" w:type="dxa"/>
          </w:tblCellMar>
        </w:tblPrEx>
        <w:trPr>
          <w:trHeight w:val="4075" w:hRule="atLeast"/>
          <w:jc w:val="center"/>
        </w:trPr>
        <w:tc>
          <w:tcPr>
            <w:tcW w:w="1778" w:type="dxa"/>
            <w:tcBorders>
              <w:top w:val="single" w:color="auto" w:sz="4" w:space="0"/>
              <w:left w:val="single" w:color="auto" w:sz="4" w:space="0"/>
              <w:bottom w:val="single" w:color="auto" w:sz="4" w:space="0"/>
              <w:right w:val="single" w:color="auto" w:sz="4" w:space="0"/>
            </w:tcBorders>
            <w:noWrap w:val="0"/>
            <w:vAlign w:val="center"/>
          </w:tcPr>
          <w:p w14:paraId="73068727">
            <w:pPr>
              <w:snapToGrid w:val="0"/>
              <w:jc w:val="center"/>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付款条件及履约保证金要求</w:t>
            </w:r>
          </w:p>
        </w:tc>
        <w:tc>
          <w:tcPr>
            <w:tcW w:w="6361" w:type="dxa"/>
            <w:tcBorders>
              <w:top w:val="single" w:color="auto" w:sz="4" w:space="0"/>
              <w:left w:val="single" w:color="auto" w:sz="4" w:space="0"/>
              <w:right w:val="single" w:color="auto" w:sz="4" w:space="0"/>
            </w:tcBorders>
            <w:noWrap w:val="0"/>
            <w:vAlign w:val="center"/>
          </w:tcPr>
          <w:p w14:paraId="2C4541DD">
            <w:pPr>
              <w:spacing w:line="320" w:lineRule="exact"/>
              <w:rPr>
                <w:rFonts w:hint="default" w:ascii="仿宋_GB2312" w:hAnsi="仿宋_GB2312" w:eastAsia="仿宋_GB2312" w:cs="仿宋_GB2312"/>
                <w:bCs/>
                <w:sz w:val="24"/>
                <w:lang w:val="en-US" w:eastAsia="zh-CN"/>
              </w:rPr>
            </w:pPr>
            <w:r>
              <w:rPr>
                <w:rFonts w:hint="eastAsia" w:ascii="仿宋_GB2312" w:hAnsi="仿宋_GB2312" w:eastAsia="仿宋_GB2312" w:cs="仿宋_GB2312"/>
                <w:bCs/>
                <w:sz w:val="24"/>
                <w:lang w:val="en-US" w:eastAsia="zh-CN"/>
              </w:rPr>
              <w:t>（一）付款条件如下：</w:t>
            </w:r>
          </w:p>
          <w:p w14:paraId="58BC1FE2">
            <w:pPr>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eastAsia" w:ascii="仿宋_GB2312" w:hAnsi="宋体" w:eastAsia="仿宋_GB2312"/>
                <w:b w:val="0"/>
                <w:bCs w:val="0"/>
                <w:sz w:val="24"/>
                <w:szCs w:val="24"/>
                <w:u w:val="none"/>
              </w:rPr>
            </w:pPr>
            <w:r>
              <w:rPr>
                <w:rFonts w:hint="eastAsia" w:ascii="仿宋_GB2312" w:hAnsi="宋体" w:eastAsia="仿宋_GB2312"/>
                <w:b w:val="0"/>
                <w:bCs w:val="0"/>
                <w:sz w:val="24"/>
                <w:szCs w:val="24"/>
                <w:u w:val="none"/>
              </w:rPr>
              <w:t>1</w:t>
            </w:r>
            <w:r>
              <w:rPr>
                <w:rFonts w:hint="eastAsia" w:ascii="仿宋_GB2312" w:hAnsi="宋体" w:eastAsia="仿宋_GB2312"/>
                <w:b w:val="0"/>
                <w:bCs w:val="0"/>
                <w:sz w:val="24"/>
                <w:szCs w:val="24"/>
                <w:u w:val="none"/>
                <w:lang w:eastAsia="zh-CN"/>
              </w:rPr>
              <w:t>、</w:t>
            </w:r>
            <w:r>
              <w:rPr>
                <w:rFonts w:hint="eastAsia" w:ascii="仿宋_GB2312" w:hAnsi="宋体" w:eastAsia="仿宋_GB2312"/>
                <w:b w:val="0"/>
                <w:bCs w:val="0"/>
                <w:sz w:val="24"/>
                <w:szCs w:val="24"/>
                <w:u w:val="none"/>
                <w:lang w:val="en-US" w:eastAsia="zh-CN"/>
              </w:rPr>
              <w:t>合同签订且</w:t>
            </w:r>
            <w:r>
              <w:rPr>
                <w:rFonts w:hint="eastAsia" w:ascii="仿宋_GB2312" w:hAnsi="宋体" w:eastAsia="仿宋_GB2312"/>
                <w:b w:val="0"/>
                <w:bCs w:val="0"/>
                <w:sz w:val="24"/>
                <w:szCs w:val="24"/>
                <w:u w:val="none"/>
              </w:rPr>
              <w:t>设计通过</w:t>
            </w:r>
            <w:r>
              <w:rPr>
                <w:rFonts w:hint="eastAsia" w:ascii="仿宋_GB2312" w:hAnsi="宋体" w:eastAsia="仿宋_GB2312"/>
                <w:b w:val="0"/>
                <w:bCs w:val="0"/>
                <w:sz w:val="24"/>
                <w:szCs w:val="24"/>
                <w:u w:val="none"/>
                <w:lang w:val="en-US" w:eastAsia="zh-CN"/>
              </w:rPr>
              <w:t>杭州通信办审查</w:t>
            </w:r>
            <w:r>
              <w:rPr>
                <w:rFonts w:hint="eastAsia" w:ascii="仿宋_GB2312" w:hAnsi="宋体" w:eastAsia="仿宋_GB2312"/>
                <w:b w:val="0"/>
                <w:bCs w:val="0"/>
                <w:sz w:val="24"/>
                <w:szCs w:val="24"/>
                <w:u w:val="none"/>
              </w:rPr>
              <w:t>后30个工作日内支付合同价</w:t>
            </w:r>
            <w:r>
              <w:rPr>
                <w:rFonts w:hint="eastAsia" w:ascii="仿宋_GB2312" w:hAnsi="宋体" w:eastAsia="仿宋_GB2312"/>
                <w:b w:val="0"/>
                <w:bCs w:val="0"/>
                <w:sz w:val="24"/>
                <w:szCs w:val="24"/>
                <w:u w:val="none"/>
                <w:lang w:val="en-US" w:eastAsia="zh-CN"/>
              </w:rPr>
              <w:t>的4</w:t>
            </w:r>
            <w:r>
              <w:rPr>
                <w:rFonts w:hint="eastAsia" w:ascii="仿宋_GB2312" w:hAnsi="宋体" w:eastAsia="仿宋_GB2312"/>
                <w:b w:val="0"/>
                <w:bCs w:val="0"/>
                <w:sz w:val="24"/>
                <w:szCs w:val="24"/>
                <w:u w:val="none"/>
              </w:rPr>
              <w:t>0%；</w:t>
            </w:r>
          </w:p>
          <w:p w14:paraId="0796F18F">
            <w:pPr>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eastAsia" w:ascii="仿宋_GB2312" w:hAnsi="宋体" w:eastAsia="仿宋_GB2312"/>
                <w:b w:val="0"/>
                <w:bCs w:val="0"/>
                <w:sz w:val="24"/>
                <w:szCs w:val="24"/>
                <w:u w:val="none"/>
              </w:rPr>
            </w:pPr>
            <w:r>
              <w:rPr>
                <w:rFonts w:hint="eastAsia" w:ascii="仿宋_GB2312" w:hAnsi="宋体" w:eastAsia="仿宋_GB2312"/>
                <w:b w:val="0"/>
                <w:bCs w:val="0"/>
                <w:sz w:val="24"/>
                <w:szCs w:val="24"/>
                <w:u w:val="none"/>
              </w:rPr>
              <w:t>2</w:t>
            </w:r>
            <w:r>
              <w:rPr>
                <w:rFonts w:hint="eastAsia" w:ascii="仿宋_GB2312" w:hAnsi="宋体" w:eastAsia="仿宋_GB2312"/>
                <w:b w:val="0"/>
                <w:bCs w:val="0"/>
                <w:sz w:val="24"/>
                <w:szCs w:val="24"/>
                <w:u w:val="none"/>
                <w:lang w:eastAsia="zh-CN"/>
              </w:rPr>
              <w:t>、</w:t>
            </w:r>
            <w:r>
              <w:rPr>
                <w:rFonts w:hint="eastAsia" w:ascii="仿宋_GB2312" w:hAnsi="宋体" w:eastAsia="仿宋_GB2312"/>
                <w:b w:val="0"/>
                <w:bCs w:val="0"/>
                <w:sz w:val="24"/>
                <w:szCs w:val="24"/>
                <w:u w:val="none"/>
              </w:rPr>
              <w:t>工程招标完成后30个工作日内支付至</w:t>
            </w:r>
            <w:r>
              <w:rPr>
                <w:rFonts w:hint="eastAsia" w:ascii="仿宋_GB2312" w:hAnsi="宋体" w:eastAsia="仿宋_GB2312"/>
                <w:b w:val="0"/>
                <w:bCs w:val="0"/>
                <w:sz w:val="24"/>
                <w:szCs w:val="24"/>
                <w:u w:val="none"/>
                <w:lang w:val="en-US" w:eastAsia="zh-CN"/>
              </w:rPr>
              <w:t>调整后</w:t>
            </w:r>
            <w:r>
              <w:rPr>
                <w:rFonts w:hint="eastAsia" w:ascii="仿宋_GB2312" w:hAnsi="宋体" w:eastAsia="仿宋_GB2312"/>
                <w:b w:val="0"/>
                <w:bCs w:val="0"/>
                <w:sz w:val="24"/>
                <w:szCs w:val="24"/>
                <w:u w:val="none"/>
              </w:rPr>
              <w:t>合同价</w:t>
            </w:r>
            <w:r>
              <w:rPr>
                <w:rFonts w:hint="eastAsia" w:ascii="仿宋_GB2312" w:hAnsi="宋体" w:eastAsia="仿宋_GB2312"/>
                <w:b w:val="0"/>
                <w:bCs w:val="0"/>
                <w:sz w:val="24"/>
                <w:szCs w:val="24"/>
                <w:u w:val="none"/>
                <w:lang w:val="en-US" w:eastAsia="zh-CN"/>
              </w:rPr>
              <w:t>的7</w:t>
            </w:r>
            <w:r>
              <w:rPr>
                <w:rFonts w:hint="eastAsia" w:ascii="仿宋_GB2312" w:hAnsi="宋体" w:eastAsia="仿宋_GB2312"/>
                <w:b w:val="0"/>
                <w:bCs w:val="0"/>
                <w:sz w:val="24"/>
                <w:szCs w:val="24"/>
                <w:u w:val="none"/>
              </w:rPr>
              <w:t>0%；</w:t>
            </w:r>
          </w:p>
          <w:p w14:paraId="31E2E5E7">
            <w:pPr>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eastAsia" w:ascii="仿宋_GB2312" w:hAnsi="宋体" w:eastAsia="仿宋_GB2312"/>
                <w:b w:val="0"/>
                <w:bCs w:val="0"/>
                <w:sz w:val="24"/>
                <w:szCs w:val="24"/>
                <w:u w:val="none"/>
                <w:lang w:eastAsia="zh-CN"/>
              </w:rPr>
            </w:pPr>
            <w:r>
              <w:rPr>
                <w:rFonts w:hint="eastAsia" w:ascii="仿宋_GB2312" w:hAnsi="宋体" w:eastAsia="仿宋_GB2312"/>
                <w:b w:val="0"/>
                <w:bCs w:val="0"/>
                <w:sz w:val="24"/>
                <w:szCs w:val="24"/>
                <w:u w:val="none"/>
              </w:rPr>
              <w:t>3</w:t>
            </w:r>
            <w:r>
              <w:rPr>
                <w:rFonts w:hint="eastAsia" w:ascii="仿宋_GB2312" w:hAnsi="宋体" w:eastAsia="仿宋_GB2312"/>
                <w:b w:val="0"/>
                <w:bCs w:val="0"/>
                <w:sz w:val="24"/>
                <w:szCs w:val="24"/>
                <w:u w:val="none"/>
                <w:lang w:eastAsia="zh-CN"/>
              </w:rPr>
              <w:t>、</w:t>
            </w:r>
            <w:r>
              <w:rPr>
                <w:rFonts w:hint="eastAsia" w:ascii="仿宋_GB2312" w:hAnsi="宋体" w:eastAsia="仿宋_GB2312"/>
                <w:b w:val="0"/>
                <w:bCs w:val="0"/>
                <w:sz w:val="24"/>
                <w:szCs w:val="24"/>
                <w:u w:val="none"/>
              </w:rPr>
              <w:t>项目竣工验收合格且相关资料移交发包人后30个工作日内支付至调整后合同价的100%</w:t>
            </w:r>
            <w:r>
              <w:rPr>
                <w:rFonts w:hint="eastAsia" w:ascii="仿宋_GB2312" w:hAnsi="宋体" w:eastAsia="仿宋_GB2312"/>
                <w:b w:val="0"/>
                <w:bCs w:val="0"/>
                <w:sz w:val="24"/>
                <w:szCs w:val="24"/>
                <w:u w:val="none"/>
                <w:lang w:eastAsia="zh-CN"/>
              </w:rPr>
              <w:t>。</w:t>
            </w:r>
          </w:p>
          <w:p w14:paraId="6FBC69FF">
            <w:pPr>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eastAsia" w:ascii="仿宋_GB2312" w:hAnsi="仿宋_GB2312" w:eastAsia="仿宋_GB2312" w:cs="仿宋_GB2312"/>
                <w:bCs/>
                <w:sz w:val="24"/>
                <w:lang w:val="en-US" w:eastAsia="zh-CN"/>
              </w:rPr>
            </w:pPr>
            <w:r>
              <w:rPr>
                <w:rFonts w:hint="eastAsia" w:ascii="仿宋_GB2312" w:hAnsi="仿宋_GB2312" w:eastAsia="仿宋_GB2312" w:cs="仿宋_GB2312"/>
                <w:bCs/>
                <w:sz w:val="24"/>
                <w:lang w:val="en-US" w:eastAsia="zh-CN"/>
              </w:rPr>
              <w:t>此次询价所有项目作为一个整体按上述支付节点支付。若其中部分项目因甲方原因进度明显滞后，乙方单位可提出申请要求甲方支付已完成项目对应的款项，经甲方同意后，甲方按上述比例支付已完成项目对应款项。</w:t>
            </w:r>
          </w:p>
          <w:p w14:paraId="21D3BEF6">
            <w:pPr>
              <w:spacing w:line="320" w:lineRule="exact"/>
              <w:rPr>
                <w:rFonts w:hint="eastAsia" w:ascii="仿宋_GB2312" w:hAnsi="宋体" w:eastAsia="仿宋_GB2312"/>
                <w:b/>
                <w:bCs/>
                <w:sz w:val="24"/>
                <w:szCs w:val="24"/>
                <w:u w:val="single"/>
              </w:rPr>
            </w:pPr>
            <w:r>
              <w:rPr>
                <w:rFonts w:hint="eastAsia" w:ascii="仿宋_GB2312" w:hAnsi="仿宋_GB2312" w:eastAsia="仿宋_GB2312" w:cs="仿宋_GB2312"/>
                <w:bCs/>
                <w:sz w:val="24"/>
                <w:lang w:val="en-US" w:eastAsia="zh-CN"/>
              </w:rPr>
              <w:t>（二）履约保证金：无</w:t>
            </w:r>
          </w:p>
        </w:tc>
      </w:tr>
      <w:tr w14:paraId="0AD2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0" w:type="dxa"/>
            <w:right w:w="108" w:type="dxa"/>
          </w:tblCellMar>
        </w:tblPrEx>
        <w:trPr>
          <w:trHeight w:val="2907" w:hRule="atLeast"/>
          <w:jc w:val="center"/>
        </w:trPr>
        <w:tc>
          <w:tcPr>
            <w:tcW w:w="1778" w:type="dxa"/>
            <w:tcBorders>
              <w:top w:val="single" w:color="auto" w:sz="4" w:space="0"/>
              <w:left w:val="single" w:color="auto" w:sz="4" w:space="0"/>
              <w:bottom w:val="single" w:color="auto" w:sz="4" w:space="0"/>
              <w:right w:val="single" w:color="auto" w:sz="4" w:space="0"/>
            </w:tcBorders>
            <w:noWrap w:val="0"/>
            <w:vAlign w:val="center"/>
          </w:tcPr>
          <w:p w14:paraId="7BE50383">
            <w:pPr>
              <w:snapToGrid w:val="0"/>
              <w:jc w:val="center"/>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报价、工期、质量承诺并签章</w:t>
            </w:r>
          </w:p>
        </w:tc>
        <w:tc>
          <w:tcPr>
            <w:tcW w:w="6361" w:type="dxa"/>
            <w:tcBorders>
              <w:top w:val="single" w:color="auto" w:sz="4" w:space="0"/>
              <w:left w:val="single" w:color="auto" w:sz="4" w:space="0"/>
              <w:right w:val="single" w:color="auto" w:sz="4" w:space="0"/>
            </w:tcBorders>
            <w:noWrap w:val="0"/>
            <w:vAlign w:val="center"/>
          </w:tcPr>
          <w:p w14:paraId="4C5F00D6">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firstLine="480" w:firstLineChars="200"/>
              <w:jc w:val="left"/>
              <w:textAlignment w:val="auto"/>
              <w:rPr>
                <w:rFonts w:hint="eastAsia" w:ascii="仿宋_GB2312" w:hAnsi="仿宋_GB2312" w:eastAsia="仿宋_GB2312" w:cs="仿宋_GB2312"/>
                <w:b w:val="0"/>
                <w:bCs/>
                <w:sz w:val="24"/>
                <w:lang w:val="en-US" w:eastAsia="zh-CN"/>
              </w:rPr>
            </w:pPr>
            <w:r>
              <w:rPr>
                <w:rFonts w:hint="eastAsia" w:ascii="仿宋_GB2312" w:hAnsi="仿宋_GB2312" w:eastAsia="仿宋_GB2312" w:cs="仿宋_GB2312"/>
                <w:b w:val="0"/>
                <w:bCs/>
                <w:sz w:val="24"/>
                <w:lang w:val="en-US" w:eastAsia="zh-CN"/>
              </w:rPr>
              <w:t>根据我方测算，拟对本项目报价</w:t>
            </w:r>
            <w:r>
              <w:rPr>
                <w:rFonts w:hint="eastAsia" w:ascii="仿宋_GB2312" w:hAnsi="仿宋_GB2312" w:eastAsia="仿宋_GB2312" w:cs="仿宋_GB2312"/>
                <w:b w:val="0"/>
                <w:bCs/>
                <w:sz w:val="24"/>
                <w:u w:val="single"/>
                <w:lang w:val="en-US" w:eastAsia="zh-CN"/>
              </w:rPr>
              <w:t xml:space="preserve">               </w:t>
            </w:r>
            <w:r>
              <w:rPr>
                <w:rFonts w:hint="eastAsia" w:ascii="仿宋_GB2312" w:hAnsi="仿宋_GB2312" w:eastAsia="仿宋_GB2312" w:cs="仿宋_GB2312"/>
                <w:b w:val="0"/>
                <w:bCs/>
                <w:sz w:val="24"/>
                <w:lang w:val="en-US" w:eastAsia="zh-CN"/>
              </w:rPr>
              <w:t>元，费率</w:t>
            </w:r>
            <w:r>
              <w:rPr>
                <w:rFonts w:hint="eastAsia" w:ascii="仿宋_GB2312" w:hAnsi="仿宋_GB2312" w:eastAsia="仿宋_GB2312" w:cs="仿宋_GB2312"/>
                <w:b w:val="0"/>
                <w:bCs/>
                <w:sz w:val="24"/>
                <w:u w:val="single"/>
                <w:lang w:val="en-US" w:eastAsia="zh-CN"/>
              </w:rPr>
              <w:t xml:space="preserve">     </w:t>
            </w:r>
            <w:r>
              <w:rPr>
                <w:rFonts w:hint="eastAsia" w:ascii="仿宋_GB2312" w:hAnsi="仿宋_GB2312" w:eastAsia="仿宋_GB2312" w:cs="仿宋_GB2312"/>
                <w:b w:val="0"/>
                <w:bCs/>
                <w:sz w:val="24"/>
                <w:lang w:val="en-US" w:eastAsia="zh-CN"/>
              </w:rPr>
              <w:t>%，工期和质量要求满足询价文件要求。我方同时承诺接受贵公司的付款条件及履约保证金要求。其他需要补充说明的事项</w:t>
            </w:r>
            <w:r>
              <w:rPr>
                <w:rFonts w:hint="eastAsia" w:ascii="仿宋_GB2312" w:hAnsi="仿宋_GB2312" w:eastAsia="仿宋_GB2312" w:cs="仿宋_GB2312"/>
                <w:b w:val="0"/>
                <w:bCs/>
                <w:sz w:val="24"/>
                <w:u w:val="single"/>
                <w:lang w:val="en-US" w:eastAsia="zh-CN"/>
              </w:rPr>
              <w:t xml:space="preserve">                      </w:t>
            </w:r>
            <w:r>
              <w:rPr>
                <w:rFonts w:hint="eastAsia" w:ascii="仿宋_GB2312" w:hAnsi="仿宋_GB2312" w:eastAsia="仿宋_GB2312" w:cs="仿宋_GB2312"/>
                <w:b w:val="0"/>
                <w:bCs/>
                <w:sz w:val="24"/>
                <w:lang w:val="en-US" w:eastAsia="zh-CN"/>
              </w:rPr>
              <w:t>。</w:t>
            </w:r>
          </w:p>
          <w:p w14:paraId="10A5ADD3">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仿宋_GB2312" w:hAnsi="仿宋_GB2312" w:eastAsia="仿宋_GB2312" w:cs="仿宋_GB2312"/>
                <w:bCs/>
                <w:sz w:val="24"/>
                <w:highlight w:val="none"/>
                <w:u w:val="single"/>
              </w:rPr>
            </w:pPr>
            <w:r>
              <w:rPr>
                <w:rFonts w:hint="eastAsia" w:ascii="仿宋_GB2312" w:hAnsi="仿宋_GB2312" w:eastAsia="仿宋_GB2312" w:cs="仿宋_GB2312"/>
                <w:bCs/>
                <w:sz w:val="24"/>
                <w:highlight w:val="none"/>
              </w:rPr>
              <w:t xml:space="preserve">    特此承诺。</w:t>
            </w:r>
          </w:p>
          <w:p w14:paraId="17187B53">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 xml:space="preserve">签名：             手机：         </w:t>
            </w:r>
            <w:r>
              <w:rPr>
                <w:rFonts w:hint="eastAsia" w:ascii="仿宋_GB2312" w:hAnsi="仿宋_GB2312" w:eastAsia="仿宋_GB2312" w:cs="仿宋_GB2312"/>
                <w:bCs/>
                <w:sz w:val="24"/>
                <w:highlight w:val="none"/>
                <w:lang w:val="en-US" w:eastAsia="zh-CN"/>
              </w:rPr>
              <w:t>邮箱</w:t>
            </w:r>
            <w:r>
              <w:rPr>
                <w:rFonts w:hint="eastAsia" w:ascii="仿宋_GB2312" w:hAnsi="仿宋_GB2312" w:eastAsia="仿宋_GB2312" w:cs="仿宋_GB2312"/>
                <w:bCs/>
                <w:sz w:val="24"/>
                <w:highlight w:val="none"/>
              </w:rPr>
              <w:t>：</w:t>
            </w:r>
          </w:p>
          <w:p w14:paraId="2F3161F2">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单位名称（盖章）：                    年  月  日</w:t>
            </w:r>
          </w:p>
        </w:tc>
      </w:tr>
    </w:tbl>
    <w:p w14:paraId="3A3A9A4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trackedChange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VhZjFkZDhhOGY0NDU2OGZjNzA1NTU5NDI0NzlkYjEifQ=="/>
  </w:docVars>
  <w:rsids>
    <w:rsidRoot w:val="1BDB23B2"/>
    <w:rsid w:val="00BC3A1F"/>
    <w:rsid w:val="02507A17"/>
    <w:rsid w:val="026149DE"/>
    <w:rsid w:val="03AF0451"/>
    <w:rsid w:val="03EB73E8"/>
    <w:rsid w:val="04507F7D"/>
    <w:rsid w:val="080C2892"/>
    <w:rsid w:val="09D62705"/>
    <w:rsid w:val="0BF626F2"/>
    <w:rsid w:val="0E1F739B"/>
    <w:rsid w:val="10AD554B"/>
    <w:rsid w:val="120363E1"/>
    <w:rsid w:val="165C7F3D"/>
    <w:rsid w:val="1927005A"/>
    <w:rsid w:val="1BDB23B2"/>
    <w:rsid w:val="1C0E2F29"/>
    <w:rsid w:val="1CAC7575"/>
    <w:rsid w:val="1DCF3ED9"/>
    <w:rsid w:val="1FC70FA1"/>
    <w:rsid w:val="21F0043F"/>
    <w:rsid w:val="220B3A67"/>
    <w:rsid w:val="221548E5"/>
    <w:rsid w:val="22232DF3"/>
    <w:rsid w:val="27BE3DA2"/>
    <w:rsid w:val="27CA8E2D"/>
    <w:rsid w:val="27F07987"/>
    <w:rsid w:val="27F97290"/>
    <w:rsid w:val="29A8137F"/>
    <w:rsid w:val="2B374671"/>
    <w:rsid w:val="2C3E21B6"/>
    <w:rsid w:val="2E7778AC"/>
    <w:rsid w:val="31D51276"/>
    <w:rsid w:val="31F920C2"/>
    <w:rsid w:val="343A08C2"/>
    <w:rsid w:val="34E93E19"/>
    <w:rsid w:val="35F9599E"/>
    <w:rsid w:val="37387BB9"/>
    <w:rsid w:val="3862667F"/>
    <w:rsid w:val="396327AC"/>
    <w:rsid w:val="3A190510"/>
    <w:rsid w:val="3A502507"/>
    <w:rsid w:val="3A580467"/>
    <w:rsid w:val="3A651D5D"/>
    <w:rsid w:val="3A786573"/>
    <w:rsid w:val="3C8447A8"/>
    <w:rsid w:val="40F956A6"/>
    <w:rsid w:val="417663CB"/>
    <w:rsid w:val="42FC63D6"/>
    <w:rsid w:val="4564364C"/>
    <w:rsid w:val="46853538"/>
    <w:rsid w:val="46A90C19"/>
    <w:rsid w:val="4B170C79"/>
    <w:rsid w:val="4B315A3D"/>
    <w:rsid w:val="4B6C3A5B"/>
    <w:rsid w:val="4CC518E4"/>
    <w:rsid w:val="4CC87A8C"/>
    <w:rsid w:val="50940F47"/>
    <w:rsid w:val="51F341B3"/>
    <w:rsid w:val="52EE5D72"/>
    <w:rsid w:val="53106A7A"/>
    <w:rsid w:val="54535A2B"/>
    <w:rsid w:val="54D758A7"/>
    <w:rsid w:val="54E42C66"/>
    <w:rsid w:val="56B47A82"/>
    <w:rsid w:val="573B1C6E"/>
    <w:rsid w:val="574E6F29"/>
    <w:rsid w:val="57DC6CA4"/>
    <w:rsid w:val="59336894"/>
    <w:rsid w:val="5A054C64"/>
    <w:rsid w:val="5B7B51DE"/>
    <w:rsid w:val="5BCC4DD4"/>
    <w:rsid w:val="5C163A94"/>
    <w:rsid w:val="5C294C3A"/>
    <w:rsid w:val="5CEB41BA"/>
    <w:rsid w:val="5D6F7A8F"/>
    <w:rsid w:val="5DC0743D"/>
    <w:rsid w:val="5F3FCE47"/>
    <w:rsid w:val="5FE356C6"/>
    <w:rsid w:val="64BD5955"/>
    <w:rsid w:val="65951754"/>
    <w:rsid w:val="65DF31DE"/>
    <w:rsid w:val="69772CEF"/>
    <w:rsid w:val="6A482675"/>
    <w:rsid w:val="6B367C13"/>
    <w:rsid w:val="6BA25323"/>
    <w:rsid w:val="6EE45DA5"/>
    <w:rsid w:val="6FE403A3"/>
    <w:rsid w:val="70D425F3"/>
    <w:rsid w:val="733C2851"/>
    <w:rsid w:val="743F6FA6"/>
    <w:rsid w:val="74CF03D3"/>
    <w:rsid w:val="75522B70"/>
    <w:rsid w:val="763B583E"/>
    <w:rsid w:val="76EF99E2"/>
    <w:rsid w:val="77907B18"/>
    <w:rsid w:val="79524E9F"/>
    <w:rsid w:val="79AC14E6"/>
    <w:rsid w:val="7AB59061"/>
    <w:rsid w:val="7D17FAD2"/>
    <w:rsid w:val="7E955D07"/>
    <w:rsid w:val="7F5AB8C6"/>
    <w:rsid w:val="7F7D3757"/>
    <w:rsid w:val="7FDD90E7"/>
    <w:rsid w:val="9B6D8D54"/>
    <w:rsid w:val="BBBC59CD"/>
    <w:rsid w:val="BBFF6447"/>
    <w:rsid w:val="BFBD986A"/>
    <w:rsid w:val="BFDBB89A"/>
    <w:rsid w:val="DB79312D"/>
    <w:rsid w:val="EB4CECB1"/>
    <w:rsid w:val="EDB7177C"/>
    <w:rsid w:val="EEF7A8C4"/>
    <w:rsid w:val="F9CF2763"/>
    <w:rsid w:val="FDEE60CA"/>
    <w:rsid w:val="FF35C641"/>
    <w:rsid w:val="FFFF4B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4"/>
    <w:qFormat/>
    <w:uiPriority w:val="0"/>
    <w:pPr>
      <w:ind w:left="520"/>
    </w:pPr>
    <w:rPr>
      <w:rFonts w:ascii="Times New Roman" w:hAnsi="Times New Roman"/>
    </w:rPr>
  </w:style>
  <w:style w:type="paragraph" w:styleId="4">
    <w:name w:val="toc 4"/>
    <w:basedOn w:val="1"/>
    <w:next w:val="1"/>
    <w:qFormat/>
    <w:uiPriority w:val="0"/>
    <w:pPr>
      <w:wordWrap w:val="0"/>
      <w:ind w:left="850"/>
      <w:jc w:val="both"/>
    </w:pPr>
    <w:rPr>
      <w:rFonts w:ascii="Calibri" w:hAnsi="Calibri" w:eastAsia="宋体" w:cs="Times New Roman"/>
      <w:sz w:val="21"/>
      <w:lang w:val="en-US" w:eastAsia="zh-CN" w:bidi="ar-SA"/>
    </w:rPr>
  </w:style>
  <w:style w:type="paragraph" w:styleId="5">
    <w:name w:val="toc 1"/>
    <w:basedOn w:val="1"/>
    <w:next w:val="1"/>
    <w:unhideWhenUsed/>
    <w:qFormat/>
    <w:uiPriority w:val="39"/>
    <w:pPr>
      <w:widowControl/>
      <w:spacing w:after="100" w:line="259" w:lineRule="auto"/>
    </w:pPr>
    <w:rPr>
      <w:rFonts w:ascii="等线" w:hAnsi="等线" w:eastAsia="等线"/>
      <w:sz w:val="22"/>
      <w:szCs w:val="22"/>
    </w:rPr>
  </w:style>
  <w:style w:type="paragraph" w:styleId="6">
    <w:name w:val="toc 6"/>
    <w:basedOn w:val="1"/>
    <w:next w:val="1"/>
    <w:qFormat/>
    <w:uiPriority w:val="0"/>
    <w:pPr>
      <w:ind w:left="2100" w:leftChars="1000"/>
    </w:pPr>
    <w:rPr>
      <w:szCs w:val="22"/>
    </w:rPr>
  </w:style>
  <w:style w:type="paragraph" w:styleId="7">
    <w:name w:val="Body Text First Indent"/>
    <w:basedOn w:val="3"/>
    <w:qFormat/>
    <w:uiPriority w:val="0"/>
    <w:pPr>
      <w:widowControl w:val="0"/>
      <w:spacing w:after="120"/>
      <w:ind w:firstLine="420" w:firstLineChars="10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2468</Words>
  <Characters>2624</Characters>
  <Lines>0</Lines>
  <Paragraphs>0</Paragraphs>
  <TotalTime>33</TotalTime>
  <ScaleCrop>false</ScaleCrop>
  <LinksUpToDate>false</LinksUpToDate>
  <CharactersWithSpaces>2733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2024-01-30T03:26:00Z</dcterms:created>
  <dc:creator>云踪魅影</dc:creator>
  <cp:lastModifiedBy>施琳琳</cp:lastModifiedBy>
  <dcterms:modified xsi:type="dcterms:W3CDTF">2025-11-21T01:28:55Z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11F4A8C8ABB74C2C96B8BC31475BD2F7</vt:lpwstr>
  </property>
  <property fmtid="{D5CDD505-2E9C-101B-9397-08002B2CF9AE}" pid="4" name="KSOTemplateDocerSaveRecord">
    <vt:lpwstr>eyJoZGlkIjoiY2U5MjVlODE0MWNjZDgwNDFiMjBlMWJlY2NkNGQ3OTkiLCJ1c2VySWQiOiIxNjY1MTgxNDQxIn0=</vt:lpwstr>
  </property>
</Properties>
</file>