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B15EE2">
      <w:pPr>
        <w:tabs>
          <w:tab w:val="left" w:pos="7920"/>
          <w:tab w:val="left" w:pos="8280"/>
        </w:tabs>
        <w:ind w:left="974" w:leftChars="464" w:right="1260" w:rightChars="600"/>
        <w:jc w:val="center"/>
        <w:rPr>
          <w:rFonts w:hint="eastAsia"/>
          <w:b/>
          <w:bCs/>
          <w:color w:val="auto"/>
          <w:sz w:val="32"/>
        </w:rPr>
      </w:pPr>
      <w:r>
        <w:rPr>
          <w:rFonts w:hint="eastAsia"/>
          <w:b/>
          <w:bCs/>
          <w:color w:val="auto"/>
          <w:sz w:val="32"/>
        </w:rPr>
        <w:t>桐庐莪山畲族乡村振兴项目--农业共富工坊提升改造及基础建设工程（畲乡文创手作工坊）（招标控制价）编制说明</w:t>
      </w:r>
    </w:p>
    <w:p w14:paraId="3E233CFE">
      <w:pPr>
        <w:numPr>
          <w:ilvl w:val="0"/>
          <w:numId w:val="1"/>
        </w:numPr>
        <w:spacing w:line="360" w:lineRule="auto"/>
        <w:rPr>
          <w:rFonts w:hint="eastAsia"/>
          <w:b/>
          <w:color w:val="auto"/>
          <w:sz w:val="24"/>
        </w:rPr>
      </w:pPr>
      <w:r>
        <w:rPr>
          <w:rFonts w:hint="eastAsia"/>
          <w:b/>
          <w:color w:val="auto"/>
          <w:sz w:val="24"/>
        </w:rPr>
        <w:t>工程概况</w:t>
      </w:r>
    </w:p>
    <w:p w14:paraId="50559ACF">
      <w:pPr>
        <w:numPr>
          <w:ilvl w:val="0"/>
          <w:numId w:val="2"/>
        </w:numPr>
        <w:spacing w:line="360" w:lineRule="auto"/>
        <w:rPr>
          <w:rFonts w:hint="eastAsia"/>
          <w:color w:val="auto"/>
          <w:sz w:val="24"/>
        </w:rPr>
      </w:pPr>
      <w:r>
        <w:rPr>
          <w:rFonts w:hint="eastAsia"/>
          <w:b/>
          <w:color w:val="auto"/>
          <w:sz w:val="24"/>
        </w:rPr>
        <w:t>工程地址：</w:t>
      </w:r>
      <w:r>
        <w:rPr>
          <w:rFonts w:hint="eastAsia"/>
          <w:color w:val="auto"/>
          <w:szCs w:val="21"/>
          <w:lang w:val="en-US" w:eastAsia="zh-CN"/>
        </w:rPr>
        <w:t>桐庐县</w:t>
      </w:r>
    </w:p>
    <w:p w14:paraId="2469810B">
      <w:pPr>
        <w:numPr>
          <w:ilvl w:val="0"/>
          <w:numId w:val="2"/>
        </w:numPr>
        <w:spacing w:line="360" w:lineRule="auto"/>
        <w:rPr>
          <w:rFonts w:hint="eastAsia"/>
          <w:color w:val="auto"/>
          <w:sz w:val="24"/>
        </w:rPr>
      </w:pPr>
      <w:r>
        <w:rPr>
          <w:rFonts w:hint="eastAsia"/>
          <w:b/>
          <w:color w:val="auto"/>
          <w:sz w:val="24"/>
        </w:rPr>
        <w:t>工程特征：</w:t>
      </w:r>
      <w:r>
        <w:rPr>
          <w:rFonts w:hint="eastAsia"/>
          <w:color w:val="auto"/>
          <w:szCs w:val="21"/>
          <w:lang w:val="en-US" w:eastAsia="zh-CN"/>
        </w:rPr>
        <w:t>本项目为本项目为改建项目，包括新建钢结构、外立面改建、室内装饰采购以及局部安装等项目</w:t>
      </w:r>
    </w:p>
    <w:p w14:paraId="7BF9E79E">
      <w:pPr>
        <w:numPr>
          <w:ilvl w:val="0"/>
          <w:numId w:val="2"/>
        </w:numPr>
        <w:spacing w:line="360" w:lineRule="auto"/>
        <w:rPr>
          <w:rFonts w:hint="eastAsia"/>
          <w:color w:val="auto"/>
          <w:sz w:val="24"/>
        </w:rPr>
      </w:pPr>
      <w:r>
        <w:rPr>
          <w:rFonts w:hint="eastAsia"/>
          <w:b/>
          <w:color w:val="auto"/>
          <w:sz w:val="24"/>
        </w:rPr>
        <w:t>计划工期：</w:t>
      </w:r>
      <w:r>
        <w:rPr>
          <w:rFonts w:hint="eastAsia"/>
          <w:color w:val="auto"/>
          <w:szCs w:val="21"/>
        </w:rPr>
        <w:t>详见招标文件；</w:t>
      </w:r>
    </w:p>
    <w:p w14:paraId="22A2A18C">
      <w:pPr>
        <w:numPr>
          <w:ilvl w:val="0"/>
          <w:numId w:val="1"/>
        </w:numPr>
        <w:spacing w:line="360" w:lineRule="auto"/>
        <w:rPr>
          <w:rFonts w:hint="eastAsia"/>
          <w:b/>
          <w:color w:val="auto"/>
          <w:sz w:val="24"/>
        </w:rPr>
      </w:pPr>
      <w:r>
        <w:rPr>
          <w:rFonts w:hint="eastAsia"/>
          <w:b/>
          <w:color w:val="auto"/>
          <w:sz w:val="24"/>
        </w:rPr>
        <w:t>工程招标及分包范围：</w:t>
      </w:r>
    </w:p>
    <w:p w14:paraId="35D68FCE">
      <w:pPr>
        <w:spacing w:line="360" w:lineRule="auto"/>
        <w:ind w:left="420"/>
        <w:rPr>
          <w:rFonts w:hint="eastAsia"/>
          <w:color w:val="auto"/>
          <w:szCs w:val="21"/>
        </w:rPr>
      </w:pPr>
      <w:r>
        <w:rPr>
          <w:rFonts w:hint="eastAsia"/>
          <w:color w:val="auto"/>
          <w:szCs w:val="21"/>
        </w:rPr>
        <w:t>（一）</w:t>
      </w:r>
      <w:r>
        <w:rPr>
          <w:rFonts w:hint="eastAsia"/>
          <w:color w:val="auto"/>
          <w:szCs w:val="21"/>
          <w:lang w:val="en-US" w:eastAsia="zh-CN"/>
        </w:rPr>
        <w:t>.</w:t>
      </w:r>
      <w:r>
        <w:rPr>
          <w:rFonts w:hint="eastAsia"/>
          <w:color w:val="auto"/>
          <w:szCs w:val="21"/>
        </w:rPr>
        <w:t>招标范围：</w:t>
      </w:r>
    </w:p>
    <w:p w14:paraId="477A2180">
      <w:pPr>
        <w:spacing w:line="360" w:lineRule="auto"/>
        <w:ind w:left="420"/>
        <w:rPr>
          <w:rFonts w:hint="eastAsia"/>
          <w:color w:val="auto"/>
          <w:szCs w:val="21"/>
        </w:rPr>
      </w:pPr>
      <w:r>
        <w:rPr>
          <w:rFonts w:hint="eastAsia"/>
          <w:color w:val="auto"/>
          <w:szCs w:val="21"/>
        </w:rPr>
        <w:t xml:space="preserve">   1</w:t>
      </w:r>
      <w:r>
        <w:rPr>
          <w:rFonts w:hint="eastAsia"/>
          <w:color w:val="auto"/>
          <w:szCs w:val="21"/>
          <w:lang w:val="en-US" w:eastAsia="zh-CN"/>
        </w:rPr>
        <w:t>.</w:t>
      </w:r>
      <w:r>
        <w:rPr>
          <w:rFonts w:hint="eastAsia"/>
          <w:color w:val="auto"/>
          <w:szCs w:val="21"/>
        </w:rPr>
        <w:t>施工图范围内所有工程量（除本编制说明中注明的除外）;</w:t>
      </w:r>
    </w:p>
    <w:p w14:paraId="65577C93">
      <w:pPr>
        <w:spacing w:line="360" w:lineRule="auto"/>
        <w:ind w:left="420"/>
        <w:rPr>
          <w:rFonts w:hint="eastAsia"/>
          <w:color w:val="auto"/>
          <w:szCs w:val="21"/>
        </w:rPr>
      </w:pPr>
      <w:r>
        <w:rPr>
          <w:rFonts w:hint="eastAsia"/>
          <w:color w:val="auto"/>
          <w:szCs w:val="21"/>
        </w:rPr>
        <w:t>（二）</w:t>
      </w:r>
      <w:r>
        <w:rPr>
          <w:rFonts w:hint="eastAsia"/>
          <w:color w:val="auto"/>
          <w:szCs w:val="21"/>
          <w:lang w:val="en-US" w:eastAsia="zh-CN"/>
        </w:rPr>
        <w:t>.</w:t>
      </w:r>
      <w:r>
        <w:rPr>
          <w:rFonts w:hint="eastAsia"/>
          <w:color w:val="auto"/>
          <w:szCs w:val="21"/>
        </w:rPr>
        <w:t>分包范围：</w:t>
      </w:r>
    </w:p>
    <w:p w14:paraId="1CAED73E">
      <w:pPr>
        <w:spacing w:line="360" w:lineRule="auto"/>
        <w:ind w:left="420"/>
        <w:rPr>
          <w:rFonts w:hint="eastAsia"/>
          <w:color w:val="auto"/>
          <w:szCs w:val="21"/>
        </w:rPr>
      </w:pPr>
      <w:r>
        <w:rPr>
          <w:rFonts w:hint="eastAsia"/>
          <w:color w:val="auto"/>
          <w:szCs w:val="21"/>
        </w:rPr>
        <w:t xml:space="preserve">   1</w:t>
      </w:r>
      <w:r>
        <w:rPr>
          <w:rFonts w:hint="eastAsia"/>
          <w:color w:val="auto"/>
          <w:szCs w:val="21"/>
          <w:lang w:val="en-US" w:eastAsia="zh-CN"/>
        </w:rPr>
        <w:t>.</w:t>
      </w:r>
      <w:r>
        <w:rPr>
          <w:rFonts w:hint="eastAsia"/>
          <w:color w:val="auto"/>
          <w:szCs w:val="21"/>
        </w:rPr>
        <w:t>无分包内容。</w:t>
      </w:r>
    </w:p>
    <w:p w14:paraId="1CDEDF38">
      <w:pPr>
        <w:numPr>
          <w:ilvl w:val="0"/>
          <w:numId w:val="1"/>
        </w:numPr>
        <w:spacing w:line="360" w:lineRule="auto"/>
        <w:rPr>
          <w:rFonts w:hint="eastAsia"/>
          <w:b/>
          <w:color w:val="auto"/>
          <w:sz w:val="24"/>
        </w:rPr>
      </w:pPr>
      <w:r>
        <w:rPr>
          <w:b/>
          <w:color w:val="auto"/>
          <w:sz w:val="24"/>
        </w:rPr>
        <w:t>工程量清单</w:t>
      </w:r>
      <w:r>
        <w:rPr>
          <w:rFonts w:hint="eastAsia"/>
          <w:b/>
          <w:color w:val="auto"/>
          <w:sz w:val="24"/>
        </w:rPr>
        <w:t>（招标控制价）</w:t>
      </w:r>
      <w:r>
        <w:rPr>
          <w:b/>
          <w:color w:val="auto"/>
          <w:sz w:val="24"/>
        </w:rPr>
        <w:t>编制依据：</w:t>
      </w:r>
    </w:p>
    <w:p w14:paraId="59F5BB80">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《建设工程工程量清单计价规范（GB50500－2013）》</w:t>
      </w:r>
      <w:r>
        <w:rPr>
          <w:rFonts w:hint="eastAsia"/>
          <w:color w:val="auto"/>
          <w:sz w:val="21"/>
          <w:szCs w:val="21"/>
          <w:lang w:eastAsia="zh-CN"/>
        </w:rPr>
        <w:t>；</w:t>
      </w:r>
    </w:p>
    <w:p w14:paraId="3113E6E8">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《建设工程工程量计算规范（2013）浙江省补充规定》（浙建站计（2013）63号文件）</w:t>
      </w:r>
      <w:r>
        <w:rPr>
          <w:rFonts w:hint="eastAsia"/>
          <w:color w:val="auto"/>
          <w:sz w:val="21"/>
          <w:szCs w:val="21"/>
          <w:lang w:eastAsia="zh-CN"/>
        </w:rPr>
        <w:t>；</w:t>
      </w:r>
    </w:p>
    <w:p w14:paraId="34907467">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《建设工程工程量计算规范（2013）浙江省补充规定（二）》（浙建站计（2014）31号文件）</w:t>
      </w:r>
      <w:r>
        <w:rPr>
          <w:rFonts w:hint="eastAsia"/>
          <w:color w:val="auto"/>
          <w:sz w:val="21"/>
          <w:szCs w:val="21"/>
          <w:lang w:eastAsia="zh-CN"/>
        </w:rPr>
        <w:t>；</w:t>
      </w:r>
    </w:p>
    <w:p w14:paraId="3BF1E3EF">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《关于印发&lt;杭州市建设工程工程量清单计价实施细则（201</w:t>
      </w:r>
      <w:r>
        <w:rPr>
          <w:rFonts w:hint="eastAsia"/>
          <w:color w:val="auto"/>
          <w:sz w:val="21"/>
          <w:szCs w:val="21"/>
          <w:lang w:val="en-US" w:eastAsia="zh-CN"/>
        </w:rPr>
        <w:t>8</w:t>
      </w:r>
      <w:r>
        <w:rPr>
          <w:rFonts w:hint="eastAsia"/>
          <w:color w:val="auto"/>
          <w:sz w:val="21"/>
          <w:szCs w:val="21"/>
        </w:rPr>
        <w:t>修订）&gt;的通知》，（杭建市发 [201</w:t>
      </w:r>
      <w:r>
        <w:rPr>
          <w:rFonts w:hint="eastAsia"/>
          <w:color w:val="auto"/>
          <w:sz w:val="21"/>
          <w:szCs w:val="21"/>
          <w:lang w:val="en-US" w:eastAsia="zh-CN"/>
        </w:rPr>
        <w:t>8</w:t>
      </w:r>
      <w:r>
        <w:rPr>
          <w:rFonts w:hint="eastAsia"/>
          <w:color w:val="auto"/>
          <w:sz w:val="21"/>
          <w:szCs w:val="21"/>
        </w:rPr>
        <w:t>]</w:t>
      </w:r>
      <w:r>
        <w:rPr>
          <w:rFonts w:hint="eastAsia"/>
          <w:color w:val="auto"/>
          <w:sz w:val="21"/>
          <w:szCs w:val="21"/>
          <w:lang w:val="en-US" w:eastAsia="zh-CN"/>
        </w:rPr>
        <w:t>578</w:t>
      </w:r>
      <w:r>
        <w:rPr>
          <w:rFonts w:hint="eastAsia"/>
          <w:color w:val="auto"/>
          <w:sz w:val="21"/>
          <w:szCs w:val="21"/>
        </w:rPr>
        <w:t>号）</w:t>
      </w:r>
      <w:r>
        <w:rPr>
          <w:rFonts w:hint="eastAsia"/>
          <w:color w:val="auto"/>
          <w:sz w:val="21"/>
          <w:szCs w:val="21"/>
          <w:lang w:eastAsia="zh-CN"/>
        </w:rPr>
        <w:t>；</w:t>
      </w:r>
    </w:p>
    <w:p w14:paraId="7B72476D">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lang w:eastAsia="zh-CN"/>
        </w:rPr>
        <w:t>《</w:t>
      </w:r>
      <w:r>
        <w:rPr>
          <w:rFonts w:hint="eastAsia"/>
          <w:color w:val="auto"/>
          <w:sz w:val="21"/>
          <w:szCs w:val="21"/>
          <w:lang w:val="en-US" w:eastAsia="zh-CN"/>
        </w:rPr>
        <w:t>浙江省建设工程计价规则2018版</w:t>
      </w:r>
      <w:r>
        <w:rPr>
          <w:rFonts w:hint="eastAsia"/>
          <w:color w:val="auto"/>
          <w:sz w:val="21"/>
          <w:szCs w:val="21"/>
          <w:lang w:eastAsia="zh-CN"/>
        </w:rPr>
        <w:t>》、《</w:t>
      </w:r>
      <w:r>
        <w:rPr>
          <w:rFonts w:hint="eastAsia"/>
          <w:color w:val="auto"/>
          <w:sz w:val="21"/>
          <w:szCs w:val="21"/>
          <w:lang w:val="en-US" w:eastAsia="zh-CN"/>
        </w:rPr>
        <w:t>浙江省市政工程预算定额2018版</w:t>
      </w:r>
      <w:r>
        <w:rPr>
          <w:rFonts w:hint="eastAsia"/>
          <w:color w:val="auto"/>
          <w:sz w:val="21"/>
          <w:szCs w:val="21"/>
          <w:lang w:eastAsia="zh-CN"/>
        </w:rPr>
        <w:t>》、《</w:t>
      </w:r>
      <w:r>
        <w:rPr>
          <w:rFonts w:hint="eastAsia"/>
          <w:color w:val="auto"/>
          <w:sz w:val="21"/>
          <w:szCs w:val="21"/>
          <w:lang w:val="en-US" w:eastAsia="zh-CN"/>
        </w:rPr>
        <w:t>浙江省园林绿化及仿古建筑工程预算定额2018版</w:t>
      </w:r>
      <w:r>
        <w:rPr>
          <w:rFonts w:hint="eastAsia"/>
          <w:color w:val="auto"/>
          <w:sz w:val="21"/>
          <w:szCs w:val="21"/>
          <w:lang w:eastAsia="zh-CN"/>
        </w:rPr>
        <w:t>》、《</w:t>
      </w:r>
      <w:r>
        <w:rPr>
          <w:rFonts w:hint="eastAsia"/>
          <w:color w:val="auto"/>
          <w:sz w:val="21"/>
          <w:szCs w:val="21"/>
          <w:lang w:val="en-US" w:eastAsia="zh-CN"/>
        </w:rPr>
        <w:t>浙江省房屋建筑与装饰工程预算定额2018版</w:t>
      </w:r>
      <w:r>
        <w:rPr>
          <w:rFonts w:hint="eastAsia"/>
          <w:color w:val="auto"/>
          <w:sz w:val="21"/>
          <w:szCs w:val="21"/>
          <w:lang w:eastAsia="zh-CN"/>
        </w:rPr>
        <w:t>》、《</w:t>
      </w:r>
      <w:r>
        <w:rPr>
          <w:rFonts w:hint="eastAsia"/>
          <w:color w:val="auto"/>
          <w:sz w:val="21"/>
          <w:szCs w:val="21"/>
          <w:lang w:val="en-US" w:eastAsia="zh-CN"/>
        </w:rPr>
        <w:t>浙江省通用安装工程预算定额2018版</w:t>
      </w:r>
      <w:r>
        <w:rPr>
          <w:rFonts w:hint="eastAsia"/>
          <w:color w:val="auto"/>
          <w:sz w:val="21"/>
          <w:szCs w:val="21"/>
          <w:lang w:eastAsia="zh-CN"/>
        </w:rPr>
        <w:t>》、《</w:t>
      </w:r>
      <w:r>
        <w:rPr>
          <w:rFonts w:hint="eastAsia"/>
          <w:color w:val="auto"/>
          <w:sz w:val="21"/>
          <w:szCs w:val="21"/>
          <w:lang w:val="en-US" w:eastAsia="zh-CN"/>
        </w:rPr>
        <w:t>浙江省建设工程施工机械台班费用定额2018版</w:t>
      </w:r>
      <w:r>
        <w:rPr>
          <w:rFonts w:hint="eastAsia"/>
          <w:color w:val="auto"/>
          <w:sz w:val="21"/>
          <w:szCs w:val="21"/>
          <w:lang w:eastAsia="zh-CN"/>
        </w:rPr>
        <w:t>》、《</w:t>
      </w:r>
      <w:r>
        <w:rPr>
          <w:rFonts w:hint="eastAsia"/>
          <w:color w:val="auto"/>
          <w:sz w:val="21"/>
          <w:szCs w:val="21"/>
          <w:lang w:val="en-US" w:eastAsia="zh-CN"/>
        </w:rPr>
        <w:t>浙江省建筑安装材料机器价格2018版</w:t>
      </w:r>
      <w:r>
        <w:rPr>
          <w:rFonts w:hint="eastAsia"/>
          <w:color w:val="auto"/>
          <w:sz w:val="21"/>
          <w:szCs w:val="21"/>
          <w:lang w:eastAsia="zh-CN"/>
        </w:rPr>
        <w:t>》、《</w:t>
      </w:r>
      <w:r>
        <w:rPr>
          <w:rFonts w:hint="eastAsia"/>
          <w:color w:val="auto"/>
          <w:sz w:val="21"/>
          <w:szCs w:val="21"/>
          <w:lang w:val="en-US" w:eastAsia="zh-CN"/>
        </w:rPr>
        <w:t>浙江省城市轨道交通工程预算定额2018版</w:t>
      </w:r>
      <w:r>
        <w:rPr>
          <w:rFonts w:hint="eastAsia"/>
          <w:color w:val="auto"/>
          <w:sz w:val="21"/>
          <w:szCs w:val="21"/>
          <w:lang w:eastAsia="zh-CN"/>
        </w:rPr>
        <w:t>》；</w:t>
      </w:r>
    </w:p>
    <w:p w14:paraId="2A621CE4">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lang w:val="en-US" w:eastAsia="zh-CN"/>
        </w:rPr>
      </w:pPr>
      <w:r>
        <w:rPr>
          <w:rFonts w:hint="eastAsia"/>
          <w:color w:val="auto"/>
          <w:sz w:val="21"/>
          <w:szCs w:val="21"/>
          <w:lang w:val="en-US" w:eastAsia="zh-CN"/>
        </w:rPr>
        <w:t>《关于增值税调整后我省建设工程计价依据增值税税率及有关计价调整的通知》（浙建建发【2019】92 号）</w:t>
      </w:r>
    </w:p>
    <w:p w14:paraId="55360315">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建设工程设计文件：施工图</w:t>
      </w:r>
    </w:p>
    <w:p w14:paraId="337A0DA6">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color w:val="auto"/>
          <w:sz w:val="21"/>
          <w:szCs w:val="21"/>
        </w:rPr>
        <w:t>与建设工程项目有关的标准、规范、技术资料</w:t>
      </w:r>
      <w:r>
        <w:rPr>
          <w:rFonts w:hint="eastAsia"/>
          <w:color w:val="auto"/>
          <w:sz w:val="21"/>
          <w:szCs w:val="21"/>
        </w:rPr>
        <w:t>；</w:t>
      </w:r>
    </w:p>
    <w:p w14:paraId="65748F46">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rPr>
        <w:t>拟定的招标文件</w:t>
      </w:r>
      <w:r>
        <w:rPr>
          <w:rFonts w:hint="eastAsia"/>
          <w:color w:val="auto"/>
          <w:sz w:val="21"/>
          <w:szCs w:val="21"/>
          <w:lang w:eastAsia="zh-CN"/>
        </w:rPr>
        <w:t>；</w:t>
      </w:r>
    </w:p>
    <w:p w14:paraId="17555732">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color w:val="auto"/>
          <w:sz w:val="21"/>
          <w:szCs w:val="21"/>
        </w:rPr>
        <w:t>常规</w:t>
      </w:r>
      <w:r>
        <w:rPr>
          <w:rFonts w:hint="eastAsia"/>
          <w:color w:val="auto"/>
          <w:sz w:val="21"/>
          <w:szCs w:val="21"/>
        </w:rPr>
        <w:t>的</w:t>
      </w:r>
      <w:r>
        <w:rPr>
          <w:color w:val="auto"/>
          <w:sz w:val="21"/>
          <w:szCs w:val="21"/>
        </w:rPr>
        <w:t>施工</w:t>
      </w:r>
      <w:r>
        <w:rPr>
          <w:rFonts w:hint="eastAsia"/>
          <w:color w:val="auto"/>
          <w:sz w:val="21"/>
          <w:szCs w:val="21"/>
        </w:rPr>
        <w:t>组织设计或施工</w:t>
      </w:r>
      <w:r>
        <w:rPr>
          <w:color w:val="auto"/>
          <w:sz w:val="21"/>
          <w:szCs w:val="21"/>
        </w:rPr>
        <w:t>方案</w:t>
      </w:r>
      <w:r>
        <w:rPr>
          <w:rFonts w:hint="eastAsia"/>
          <w:color w:val="auto"/>
          <w:sz w:val="21"/>
          <w:szCs w:val="21"/>
          <w:lang w:eastAsia="zh-CN"/>
        </w:rPr>
        <w:t>（</w:t>
      </w:r>
      <w:r>
        <w:rPr>
          <w:rFonts w:hint="eastAsia"/>
          <w:color w:val="auto"/>
          <w:sz w:val="21"/>
          <w:szCs w:val="21"/>
          <w:lang w:val="en-US" w:eastAsia="zh-CN"/>
        </w:rPr>
        <w:t>未考虑缩短工期</w:t>
      </w:r>
      <w:r>
        <w:rPr>
          <w:rFonts w:hint="eastAsia"/>
          <w:color w:val="auto"/>
          <w:sz w:val="21"/>
          <w:szCs w:val="21"/>
          <w:lang w:eastAsia="zh-CN"/>
        </w:rPr>
        <w:t>）</w:t>
      </w:r>
      <w:r>
        <w:rPr>
          <w:rFonts w:hint="eastAsia"/>
          <w:color w:val="auto"/>
          <w:sz w:val="21"/>
          <w:szCs w:val="21"/>
        </w:rPr>
        <w:t>；</w:t>
      </w:r>
    </w:p>
    <w:p w14:paraId="132850C2">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rPr>
        <w:t>信息价采用《杭州造价信息价（20</w:t>
      </w:r>
      <w:r>
        <w:rPr>
          <w:rFonts w:hint="eastAsia"/>
          <w:color w:val="auto"/>
          <w:sz w:val="21"/>
          <w:szCs w:val="21"/>
          <w:lang w:val="en-US" w:eastAsia="zh-CN"/>
        </w:rPr>
        <w:t>26.3</w:t>
      </w:r>
      <w:r>
        <w:rPr>
          <w:rFonts w:hint="eastAsia"/>
          <w:color w:val="auto"/>
          <w:sz w:val="21"/>
          <w:szCs w:val="21"/>
        </w:rPr>
        <w:t>）》桐庐地区信息价，桐庐地区无信息价的参照杭州地区信息价</w:t>
      </w:r>
      <w:r>
        <w:rPr>
          <w:rFonts w:hint="eastAsia"/>
          <w:color w:val="auto"/>
          <w:sz w:val="21"/>
          <w:szCs w:val="21"/>
          <w:lang w:eastAsia="zh-CN"/>
        </w:rPr>
        <w:t>；《</w:t>
      </w:r>
      <w:r>
        <w:rPr>
          <w:rFonts w:hint="eastAsia"/>
          <w:color w:val="auto"/>
          <w:sz w:val="21"/>
          <w:szCs w:val="21"/>
          <w:lang w:val="en-US" w:eastAsia="zh-CN"/>
        </w:rPr>
        <w:t>杭州造价信息价</w:t>
      </w:r>
      <w:r>
        <w:rPr>
          <w:rFonts w:hint="eastAsia"/>
          <w:color w:val="auto"/>
          <w:sz w:val="21"/>
          <w:szCs w:val="21"/>
          <w:lang w:eastAsia="zh-CN"/>
        </w:rPr>
        <w:t>》</w:t>
      </w:r>
      <w:r>
        <w:rPr>
          <w:rFonts w:hint="eastAsia"/>
          <w:color w:val="auto"/>
          <w:sz w:val="21"/>
          <w:szCs w:val="21"/>
          <w:lang w:val="en-US" w:eastAsia="zh-CN"/>
        </w:rPr>
        <w:t>中没有的，</w:t>
      </w:r>
      <w:r>
        <w:rPr>
          <w:rFonts w:hint="eastAsia"/>
          <w:color w:val="auto"/>
          <w:sz w:val="21"/>
          <w:szCs w:val="21"/>
        </w:rPr>
        <w:t>参照《浙江省信息价</w:t>
      </w:r>
      <w:r>
        <w:rPr>
          <w:rFonts w:hint="eastAsia"/>
          <w:color w:val="auto"/>
          <w:sz w:val="21"/>
          <w:szCs w:val="21"/>
          <w:lang w:val="en-US" w:eastAsia="zh-CN"/>
        </w:rPr>
        <w:t>（2026.3）》</w:t>
      </w:r>
      <w:r>
        <w:rPr>
          <w:rFonts w:hint="eastAsia"/>
          <w:color w:val="auto"/>
          <w:sz w:val="21"/>
          <w:szCs w:val="21"/>
        </w:rPr>
        <w:t>计入；</w:t>
      </w:r>
      <w:r>
        <w:rPr>
          <w:rFonts w:hint="eastAsia"/>
          <w:color w:val="auto"/>
          <w:sz w:val="21"/>
          <w:szCs w:val="21"/>
          <w:lang w:val="en-US" w:eastAsia="zh-CN"/>
        </w:rPr>
        <w:t>以上信息价中都没有的无价材料，根据市场询价确定。</w:t>
      </w:r>
    </w:p>
    <w:p w14:paraId="05BAB3B8">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lang w:val="en-US" w:eastAsia="zh-CN"/>
        </w:rPr>
        <w:t>其他相关资料；</w:t>
      </w:r>
    </w:p>
    <w:p w14:paraId="6471F408">
      <w:pPr>
        <w:numPr>
          <w:ilvl w:val="0"/>
          <w:numId w:val="1"/>
        </w:numPr>
        <w:spacing w:line="360" w:lineRule="auto"/>
        <w:rPr>
          <w:rFonts w:hint="eastAsia"/>
          <w:color w:val="auto"/>
          <w:sz w:val="24"/>
        </w:rPr>
      </w:pPr>
      <w:r>
        <w:rPr>
          <w:rFonts w:hint="eastAsia"/>
          <w:b/>
          <w:color w:val="auto"/>
          <w:sz w:val="24"/>
        </w:rPr>
        <w:t>工程质量、工期、材料、施工等要求：</w:t>
      </w:r>
      <w:r>
        <w:rPr>
          <w:rFonts w:hint="eastAsia"/>
          <w:color w:val="auto"/>
          <w:sz w:val="24"/>
        </w:rPr>
        <w:t>按招标文件。</w:t>
      </w:r>
    </w:p>
    <w:p w14:paraId="0B5960F0">
      <w:pPr>
        <w:numPr>
          <w:ilvl w:val="0"/>
          <w:numId w:val="1"/>
        </w:numPr>
        <w:spacing w:line="360" w:lineRule="auto"/>
        <w:rPr>
          <w:rFonts w:hint="eastAsia"/>
          <w:color w:val="auto"/>
          <w:sz w:val="24"/>
        </w:rPr>
      </w:pPr>
      <w:r>
        <w:rPr>
          <w:rFonts w:hint="eastAsia"/>
          <w:b/>
          <w:color w:val="auto"/>
          <w:sz w:val="24"/>
          <w:lang w:val="en-US" w:eastAsia="zh-CN"/>
        </w:rPr>
        <w:t>暂列金额：</w:t>
      </w:r>
      <w:r>
        <w:rPr>
          <w:rFonts w:hint="eastAsia"/>
          <w:color w:val="auto"/>
          <w:sz w:val="24"/>
          <w:lang w:val="en-US" w:eastAsia="zh-CN"/>
        </w:rPr>
        <w:t>无</w:t>
      </w:r>
    </w:p>
    <w:p w14:paraId="42FF27D1">
      <w:pPr>
        <w:numPr>
          <w:ilvl w:val="0"/>
          <w:numId w:val="1"/>
        </w:numPr>
        <w:spacing w:line="360" w:lineRule="auto"/>
        <w:rPr>
          <w:rFonts w:hint="eastAsia"/>
          <w:color w:val="auto"/>
          <w:sz w:val="24"/>
        </w:rPr>
      </w:pPr>
      <w:r>
        <w:rPr>
          <w:rFonts w:hint="eastAsia"/>
          <w:b/>
          <w:color w:val="auto"/>
          <w:sz w:val="24"/>
        </w:rPr>
        <w:t>取费说明：</w:t>
      </w:r>
    </w:p>
    <w:p w14:paraId="50BC8D63">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招标</w:t>
      </w:r>
      <w:bookmarkStart w:id="0" w:name="_GoBack"/>
      <w:r>
        <w:rPr>
          <w:rFonts w:hint="eastAsia" w:ascii="宋体" w:hAnsi="宋体" w:cs="宋体"/>
          <w:color w:val="auto"/>
          <w:sz w:val="24"/>
          <w:szCs w:val="24"/>
          <w:lang w:val="en-US" w:eastAsia="zh-CN"/>
        </w:rPr>
        <w:t>控制价中安全文明施工费（含安责险等）按《浙江省建设工程计价规则》（2018版）规定的非市区一般工程相应费率中值取费；取费基数为人工费+机械费，</w:t>
      </w:r>
      <w:r>
        <w:rPr>
          <w:rFonts w:hint="eastAsia" w:ascii="宋体" w:hAnsi="宋体" w:cs="宋体"/>
          <w:b/>
          <w:bCs/>
          <w:color w:val="auto"/>
          <w:sz w:val="24"/>
          <w:szCs w:val="24"/>
          <w:lang w:val="en-US" w:eastAsia="zh-CN"/>
        </w:rPr>
        <w:t>建筑安全文明施工费费率为9.91%，安装安全文明施工费费率为7.4%</w:t>
      </w:r>
    </w:p>
    <w:p w14:paraId="727F1B2E">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cs="宋体"/>
          <w:b/>
          <w:bCs/>
          <w:color w:val="auto"/>
          <w:sz w:val="24"/>
          <w:szCs w:val="24"/>
          <w:lang w:val="en-US" w:eastAsia="zh-CN"/>
        </w:rPr>
      </w:pPr>
      <w:r>
        <w:rPr>
          <w:rFonts w:hint="eastAsia" w:ascii="宋体" w:hAnsi="宋体" w:cs="宋体"/>
          <w:color w:val="auto"/>
          <w:sz w:val="24"/>
          <w:szCs w:val="24"/>
          <w:lang w:val="en-US" w:eastAsia="zh-CN"/>
        </w:rPr>
        <w:t>招标控制价中企业管理费按《浙江省建设工程计价规则》（2018版）规定的相应费率中值取费；取费基数为人工费+机械费，</w:t>
      </w:r>
      <w:r>
        <w:rPr>
          <w:rFonts w:hint="eastAsia" w:ascii="宋体" w:hAnsi="宋体" w:cs="宋体"/>
          <w:b/>
          <w:bCs/>
          <w:color w:val="auto"/>
          <w:sz w:val="24"/>
          <w:szCs w:val="24"/>
          <w:lang w:val="en-US" w:eastAsia="zh-CN"/>
        </w:rPr>
        <w:t>建筑企业管理费费率为16.57%，安装企业管理费费率为21.72%</w:t>
      </w:r>
    </w:p>
    <w:p w14:paraId="2847253B">
      <w:pPr>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bCs/>
          <w:color w:val="auto"/>
          <w:szCs w:val="21"/>
        </w:rPr>
      </w:pPr>
      <w:r>
        <w:rPr>
          <w:rFonts w:hint="eastAsia" w:ascii="宋体" w:hAnsi="宋体" w:cs="宋体"/>
          <w:color w:val="auto"/>
          <w:sz w:val="24"/>
          <w:szCs w:val="24"/>
          <w:lang w:val="en-US" w:eastAsia="zh-CN"/>
        </w:rPr>
        <w:t>规费按《浙江省建设工程计价规则》（2018版）规定取费，取费基数为人工费+机械费，</w:t>
      </w:r>
      <w:r>
        <w:rPr>
          <w:rFonts w:hint="eastAsia" w:ascii="宋体" w:hAnsi="宋体" w:cs="宋体"/>
          <w:b/>
          <w:bCs/>
          <w:color w:val="auto"/>
          <w:sz w:val="24"/>
          <w:szCs w:val="24"/>
          <w:lang w:val="en-US" w:eastAsia="zh-CN"/>
        </w:rPr>
        <w:t>建筑规费费率为16.57%，安装规费费率为30.63%</w:t>
      </w:r>
      <w:r>
        <w:rPr>
          <w:rFonts w:ascii="宋体" w:hAnsi="宋体" w:eastAsia="宋体" w:cs="宋体"/>
          <w:color w:val="auto"/>
          <w:sz w:val="24"/>
          <w:szCs w:val="24"/>
        </w:rPr>
        <w:br w:type="textWrapping"/>
      </w:r>
      <w:r>
        <w:rPr>
          <w:rFonts w:ascii="宋体" w:hAnsi="宋体" w:eastAsia="宋体" w:cs="宋体"/>
          <w:color w:val="auto"/>
          <w:sz w:val="24"/>
          <w:szCs w:val="24"/>
        </w:rPr>
        <w:t>4、税金费率为9%（增值税，此项费用为不可竞争费用，不得竞争）。 </w:t>
      </w:r>
    </w:p>
    <w:bookmarkEnd w:id="0"/>
    <w:p w14:paraId="47CC7D4A">
      <w:pPr>
        <w:numPr>
          <w:ilvl w:val="0"/>
          <w:numId w:val="6"/>
        </w:numPr>
        <w:spacing w:line="360" w:lineRule="auto"/>
        <w:rPr>
          <w:rFonts w:hint="eastAsia"/>
          <w:b/>
          <w:color w:val="auto"/>
          <w:sz w:val="24"/>
        </w:rPr>
      </w:pPr>
      <w:r>
        <w:rPr>
          <w:rFonts w:hint="eastAsia"/>
          <w:b/>
          <w:color w:val="auto"/>
          <w:sz w:val="24"/>
        </w:rPr>
        <w:t>其它相关说明：</w:t>
      </w:r>
    </w:p>
    <w:p w14:paraId="5C78D2E8">
      <w:pPr>
        <w:spacing w:line="360" w:lineRule="auto"/>
        <w:rPr>
          <w:rFonts w:hint="eastAsia" w:hAnsi="宋体"/>
          <w:bCs/>
          <w:color w:val="auto"/>
          <w:sz w:val="22"/>
          <w:szCs w:val="22"/>
          <w:lang w:val="en-US" w:eastAsia="zh-CN"/>
        </w:rPr>
      </w:pPr>
      <w:r>
        <w:rPr>
          <w:rFonts w:hint="eastAsia" w:hAnsi="宋体"/>
          <w:bCs/>
          <w:color w:val="auto"/>
          <w:sz w:val="22"/>
          <w:szCs w:val="22"/>
          <w:lang w:val="en-US" w:eastAsia="zh-CN"/>
        </w:rPr>
        <w:t>1、工程量按实结算</w:t>
      </w:r>
    </w:p>
    <w:p w14:paraId="66FC9A1B">
      <w:pPr>
        <w:spacing w:line="360" w:lineRule="auto"/>
        <w:rPr>
          <w:rFonts w:hint="eastAsia" w:hAnsi="宋体"/>
          <w:bCs/>
          <w:color w:val="auto"/>
          <w:sz w:val="22"/>
          <w:szCs w:val="22"/>
          <w:lang w:val="en-US" w:eastAsia="zh-CN"/>
        </w:rPr>
      </w:pPr>
      <w:r>
        <w:rPr>
          <w:rFonts w:hint="eastAsia" w:hAnsi="宋体"/>
          <w:bCs/>
          <w:color w:val="auto"/>
          <w:sz w:val="22"/>
          <w:szCs w:val="22"/>
          <w:lang w:val="en-US" w:eastAsia="zh-CN"/>
        </w:rPr>
        <w:t>2、本工程根据图纸工程量计算，具体按实结算</w:t>
      </w:r>
    </w:p>
    <w:p w14:paraId="50D3D0C9">
      <w:pPr>
        <w:spacing w:line="360" w:lineRule="auto"/>
        <w:rPr>
          <w:rFonts w:hint="default" w:hAnsi="宋体"/>
          <w:bCs/>
          <w:color w:val="auto"/>
          <w:sz w:val="22"/>
          <w:szCs w:val="22"/>
          <w:lang w:val="en-US" w:eastAsia="zh-CN"/>
        </w:rPr>
      </w:pPr>
      <w:r>
        <w:rPr>
          <w:rFonts w:hint="eastAsia" w:hAnsi="宋体"/>
          <w:bCs/>
          <w:color w:val="auto"/>
          <w:sz w:val="22"/>
          <w:szCs w:val="22"/>
          <w:lang w:val="en-US" w:eastAsia="zh-CN"/>
        </w:rPr>
        <w:t>3、搬运费、清理费、成品保护费等综合考虑相关费用</w:t>
      </w:r>
    </w:p>
    <w:p w14:paraId="1650BE3C">
      <w:pPr>
        <w:spacing w:line="360" w:lineRule="auto"/>
        <w:rPr>
          <w:rFonts w:hint="eastAsia" w:hAnsi="宋体"/>
          <w:bCs/>
          <w:color w:val="auto"/>
          <w:sz w:val="22"/>
          <w:szCs w:val="22"/>
          <w:lang w:val="en-US" w:eastAsia="zh-CN"/>
        </w:rPr>
      </w:pPr>
      <w:r>
        <w:rPr>
          <w:rFonts w:hint="eastAsia" w:hAnsi="宋体"/>
          <w:bCs/>
          <w:color w:val="auto"/>
          <w:sz w:val="22"/>
          <w:szCs w:val="22"/>
          <w:lang w:val="en-US" w:eastAsia="zh-CN"/>
        </w:rPr>
        <w:t>4、脚手架的类型自行综合考虑并应符合相关规定，中标后不做调整</w:t>
      </w:r>
    </w:p>
    <w:p w14:paraId="58D62AC0">
      <w:pPr>
        <w:spacing w:line="360" w:lineRule="auto"/>
        <w:rPr>
          <w:rFonts w:hint="default" w:hAnsi="宋体"/>
          <w:bCs/>
          <w:color w:val="auto"/>
          <w:sz w:val="22"/>
          <w:szCs w:val="22"/>
          <w:lang w:val="en-US" w:eastAsia="zh-CN"/>
        </w:rPr>
      </w:pPr>
      <w:r>
        <w:rPr>
          <w:rFonts w:hint="eastAsia" w:hAnsi="宋体"/>
          <w:bCs/>
          <w:color w:val="auto"/>
          <w:sz w:val="22"/>
          <w:szCs w:val="22"/>
          <w:lang w:val="en-US" w:eastAsia="zh-CN"/>
        </w:rPr>
        <w:t>5、本项目部分造型含弧形，综合单价包含弧形增加费，不再另行计价，投标单位综合考虑相关费用</w:t>
      </w:r>
    </w:p>
    <w:p w14:paraId="553299D1">
      <w:pPr>
        <w:spacing w:line="360" w:lineRule="auto"/>
        <w:rPr>
          <w:rFonts w:hint="eastAsia" w:hAnsi="宋体"/>
          <w:bCs/>
          <w:color w:val="auto"/>
          <w:sz w:val="22"/>
          <w:szCs w:val="22"/>
          <w:lang w:val="en-US" w:eastAsia="zh-CN"/>
        </w:rPr>
      </w:pPr>
      <w:r>
        <w:rPr>
          <w:rFonts w:hint="eastAsia" w:hAnsi="宋体"/>
          <w:bCs/>
          <w:color w:val="auto"/>
          <w:sz w:val="22"/>
          <w:szCs w:val="22"/>
          <w:lang w:val="en-US" w:eastAsia="zh-CN"/>
        </w:rPr>
        <w:t>6、本项目所有材料、灯具等项目需经业主、设计确认，投标单位综合考虑相关颜色、选样等相关风险费用</w:t>
      </w:r>
    </w:p>
    <w:p w14:paraId="511EFB52">
      <w:pPr>
        <w:spacing w:line="360" w:lineRule="auto"/>
        <w:rPr>
          <w:rFonts w:hint="default" w:hAnsi="宋体"/>
          <w:bCs/>
          <w:color w:val="auto"/>
          <w:sz w:val="22"/>
          <w:szCs w:val="22"/>
          <w:lang w:val="en-US" w:eastAsia="zh-CN"/>
        </w:rPr>
      </w:pPr>
      <w:r>
        <w:rPr>
          <w:rFonts w:hint="eastAsia" w:hAnsi="宋体"/>
          <w:bCs/>
          <w:color w:val="auto"/>
          <w:sz w:val="22"/>
          <w:szCs w:val="22"/>
          <w:lang w:val="en-US" w:eastAsia="zh-CN"/>
        </w:rPr>
        <w:t>7、本工程部分在项目清单未完全描述地方，按施工图纸综合考虑费用</w:t>
      </w:r>
    </w:p>
    <w:p w14:paraId="6213E966">
      <w:pPr>
        <w:spacing w:line="360" w:lineRule="auto"/>
        <w:rPr>
          <w:rFonts w:hint="eastAsia" w:hAnsi="宋体"/>
          <w:bCs/>
          <w:color w:val="auto"/>
          <w:sz w:val="22"/>
          <w:szCs w:val="22"/>
          <w:lang w:val="en-US" w:eastAsia="zh-CN"/>
        </w:rPr>
      </w:pPr>
      <w:r>
        <w:rPr>
          <w:rFonts w:hint="eastAsia" w:hAnsi="宋体"/>
          <w:bCs/>
          <w:color w:val="auto"/>
          <w:sz w:val="22"/>
          <w:szCs w:val="22"/>
          <w:lang w:val="en-US" w:eastAsia="zh-CN"/>
        </w:rPr>
        <w:t>8、与设计、业主沟通确认，弱电部分按清单描述计入考虑，具体工程量按实结算</w:t>
      </w:r>
    </w:p>
    <w:p w14:paraId="1CB139F9">
      <w:pPr>
        <w:pStyle w:val="2"/>
        <w:rPr>
          <w:rFonts w:hint="eastAsia" w:hAnsi="宋体"/>
          <w:bCs/>
          <w:color w:val="auto"/>
          <w:sz w:val="22"/>
          <w:szCs w:val="22"/>
          <w:lang w:val="en-US" w:eastAsia="zh-CN"/>
        </w:rPr>
      </w:pPr>
      <w:r>
        <w:rPr>
          <w:rFonts w:hint="eastAsia" w:hAnsi="宋体"/>
          <w:bCs/>
          <w:color w:val="auto"/>
          <w:sz w:val="22"/>
          <w:szCs w:val="22"/>
          <w:lang w:val="en-US" w:eastAsia="zh-CN"/>
        </w:rPr>
        <w:t>9、与设计沟通确认，装修做法与建筑做法矛盾时，按装修做法计入考虑</w:t>
      </w:r>
    </w:p>
    <w:p w14:paraId="6DD91D6D">
      <w:pPr>
        <w:rPr>
          <w:rFonts w:hint="eastAsia" w:hAnsi="宋体"/>
          <w:bCs/>
          <w:color w:val="auto"/>
          <w:sz w:val="22"/>
          <w:szCs w:val="22"/>
          <w:lang w:val="en-US" w:eastAsia="zh-CN"/>
        </w:rPr>
      </w:pPr>
      <w:r>
        <w:rPr>
          <w:rFonts w:hint="eastAsia" w:hAnsi="宋体"/>
          <w:bCs/>
          <w:color w:val="auto"/>
          <w:sz w:val="22"/>
          <w:szCs w:val="22"/>
          <w:lang w:val="en-US" w:eastAsia="zh-CN"/>
        </w:rPr>
        <w:t>10、二层展厅花纹钢板地面按5厚考虑计入</w:t>
      </w:r>
    </w:p>
    <w:p w14:paraId="5D8C448F">
      <w:pPr>
        <w:pStyle w:val="2"/>
        <w:rPr>
          <w:rFonts w:hint="eastAsia" w:hAnsi="宋体"/>
          <w:bCs/>
          <w:color w:val="auto"/>
          <w:sz w:val="22"/>
          <w:szCs w:val="22"/>
          <w:lang w:val="en-US" w:eastAsia="zh-CN"/>
        </w:rPr>
      </w:pPr>
      <w:r>
        <w:rPr>
          <w:rFonts w:hint="eastAsia" w:hAnsi="宋体"/>
          <w:bCs/>
          <w:color w:val="auto"/>
          <w:sz w:val="22"/>
          <w:szCs w:val="22"/>
          <w:lang w:val="en-US" w:eastAsia="zh-CN"/>
        </w:rPr>
        <w:t>11、与设计沟通确认，二层石狮子暂不计入</w:t>
      </w:r>
    </w:p>
    <w:p w14:paraId="0B78823F">
      <w:pPr>
        <w:rPr>
          <w:rFonts w:hint="default"/>
          <w:lang w:val="en-US" w:eastAsia="zh-CN"/>
        </w:rPr>
      </w:pPr>
      <w:r>
        <w:rPr>
          <w:rFonts w:hint="eastAsia" w:hAnsi="宋体"/>
          <w:bCs/>
          <w:color w:val="auto"/>
          <w:sz w:val="22"/>
          <w:szCs w:val="22"/>
          <w:lang w:val="en-US" w:eastAsia="zh-CN"/>
        </w:rPr>
        <w:t>12、部分成品采购项目，具体材质尺寸等详见图纸</w:t>
      </w:r>
    </w:p>
    <w:p w14:paraId="14877EC3">
      <w:pPr>
        <w:spacing w:line="400" w:lineRule="exact"/>
        <w:jc w:val="left"/>
        <w:rPr>
          <w:rFonts w:ascii="宋体" w:hAnsi="宋体" w:cs="宋体"/>
          <w:b/>
          <w:color w:val="auto"/>
          <w:szCs w:val="21"/>
        </w:rPr>
      </w:pPr>
      <w:r>
        <w:rPr>
          <w:rFonts w:hint="eastAsia"/>
          <w:b/>
          <w:color w:val="auto"/>
          <w:sz w:val="24"/>
          <w:lang w:val="en-US" w:eastAsia="zh-CN"/>
        </w:rPr>
        <w:t>八</w:t>
      </w:r>
      <w:r>
        <w:rPr>
          <w:rFonts w:hint="eastAsia"/>
          <w:b/>
          <w:color w:val="auto"/>
          <w:sz w:val="24"/>
          <w:lang w:eastAsia="zh-CN"/>
        </w:rPr>
        <w:t>、报价补充说明</w:t>
      </w:r>
      <w:r>
        <w:rPr>
          <w:rFonts w:hint="eastAsia"/>
          <w:b/>
          <w:color w:val="auto"/>
          <w:sz w:val="24"/>
        </w:rPr>
        <w:t>：</w:t>
      </w:r>
      <w:r>
        <w:rPr>
          <w:rFonts w:hint="eastAsia" w:ascii="宋体" w:hAnsi="宋体" w:cs="宋体"/>
          <w:b/>
          <w:color w:val="auto"/>
          <w:szCs w:val="21"/>
        </w:rPr>
        <w:t>各投标单位在参加投标时，要根据企业自身各项技术经济实力，充分考虑以下因素：</w:t>
      </w:r>
    </w:p>
    <w:p w14:paraId="67471181">
      <w:pPr>
        <w:spacing w:line="360" w:lineRule="auto"/>
        <w:rPr>
          <w:rFonts w:hAnsi="宋体"/>
          <w:bCs/>
          <w:color w:val="auto"/>
          <w:sz w:val="21"/>
          <w:szCs w:val="21"/>
        </w:rPr>
      </w:pPr>
      <w:r>
        <w:rPr>
          <w:rFonts w:hint="eastAsia" w:hAnsi="宋体"/>
          <w:bCs/>
          <w:color w:val="auto"/>
          <w:sz w:val="22"/>
          <w:szCs w:val="22"/>
        </w:rPr>
        <w:t>1、</w:t>
      </w:r>
      <w:r>
        <w:rPr>
          <w:rFonts w:hint="eastAsia" w:hAnsi="宋体"/>
          <w:bCs/>
          <w:color w:val="auto"/>
          <w:sz w:val="21"/>
          <w:szCs w:val="21"/>
        </w:rPr>
        <w:t>招标人未限定品牌的材料</w:t>
      </w:r>
      <w:r>
        <w:rPr>
          <w:rFonts w:hint="eastAsia" w:hAnsi="宋体"/>
          <w:bCs/>
          <w:color w:val="auto"/>
          <w:sz w:val="21"/>
          <w:szCs w:val="21"/>
          <w:lang w:eastAsia="zh-CN"/>
        </w:rPr>
        <w:t>，</w:t>
      </w:r>
      <w:r>
        <w:rPr>
          <w:rFonts w:hint="eastAsia" w:hAnsi="宋体"/>
          <w:bCs/>
          <w:color w:val="auto"/>
          <w:sz w:val="21"/>
          <w:szCs w:val="21"/>
        </w:rPr>
        <w:t>投标人</w:t>
      </w:r>
      <w:r>
        <w:rPr>
          <w:rFonts w:hint="eastAsia" w:hAnsi="宋体"/>
          <w:bCs/>
          <w:color w:val="auto"/>
          <w:sz w:val="21"/>
          <w:szCs w:val="21"/>
          <w:lang w:eastAsia="zh-CN"/>
        </w:rPr>
        <w:t>在进场前</w:t>
      </w:r>
      <w:r>
        <w:rPr>
          <w:rFonts w:hint="eastAsia" w:hAnsi="宋体"/>
          <w:bCs/>
          <w:color w:val="auto"/>
          <w:sz w:val="21"/>
          <w:szCs w:val="21"/>
        </w:rPr>
        <w:t>必须经建设单位及监理单位确认后方可使用。</w:t>
      </w:r>
    </w:p>
    <w:p w14:paraId="2CADE44E">
      <w:pPr>
        <w:spacing w:line="360" w:lineRule="auto"/>
        <w:rPr>
          <w:rFonts w:hAnsi="宋体"/>
          <w:bCs/>
          <w:color w:val="auto"/>
          <w:sz w:val="21"/>
          <w:szCs w:val="21"/>
        </w:rPr>
      </w:pPr>
      <w:r>
        <w:rPr>
          <w:rFonts w:hint="eastAsia" w:hAnsi="宋体"/>
          <w:bCs/>
          <w:color w:val="auto"/>
          <w:sz w:val="21"/>
          <w:szCs w:val="21"/>
        </w:rPr>
        <w:t>2、工程检测、材料试验费含常规、非常规实验等费用，要通过质检站以及其他相关部门验收所必须检测的全部检验费用，所需费用计入相关子目或措施项目费用内，结算时不再增加任何费用；</w:t>
      </w:r>
    </w:p>
    <w:p w14:paraId="6207C647">
      <w:pPr>
        <w:spacing w:line="360" w:lineRule="auto"/>
        <w:rPr>
          <w:rFonts w:hAnsi="宋体"/>
          <w:bCs/>
          <w:color w:val="auto"/>
          <w:sz w:val="21"/>
          <w:szCs w:val="21"/>
        </w:rPr>
      </w:pPr>
      <w:r>
        <w:rPr>
          <w:rFonts w:hint="eastAsia" w:hAnsi="宋体"/>
          <w:bCs/>
          <w:color w:val="auto"/>
          <w:sz w:val="21"/>
          <w:szCs w:val="21"/>
        </w:rPr>
        <w:t>3、各报价（综合单价）须同时满足项目特征、图纸、图集、强制规范、技术标准等内容；</w:t>
      </w:r>
    </w:p>
    <w:p w14:paraId="17696A68">
      <w:pPr>
        <w:spacing w:line="360" w:lineRule="auto"/>
        <w:rPr>
          <w:rFonts w:hint="eastAsia" w:hAnsi="宋体"/>
          <w:bCs/>
          <w:color w:val="auto"/>
          <w:sz w:val="21"/>
          <w:szCs w:val="21"/>
        </w:rPr>
      </w:pPr>
      <w:r>
        <w:rPr>
          <w:rFonts w:hint="eastAsia" w:hAnsi="宋体"/>
          <w:bCs/>
          <w:color w:val="auto"/>
          <w:sz w:val="21"/>
          <w:szCs w:val="21"/>
        </w:rPr>
        <w:t>4、投标人对工程量清单有任何疑问，应于招标文件规定的疑问提交截止日前提出，否则视为投标人认可该工程量清单已包括了招标范围内的全部内容；</w:t>
      </w:r>
    </w:p>
    <w:p w14:paraId="096AC170">
      <w:pPr>
        <w:widowControl/>
        <w:spacing w:line="400" w:lineRule="exact"/>
        <w:jc w:val="left"/>
        <w:rPr>
          <w:rFonts w:hint="eastAsia" w:ascii="宋体" w:hAnsi="宋体" w:cs="宋体"/>
          <w:color w:val="auto"/>
          <w:kern w:val="0"/>
          <w:sz w:val="21"/>
          <w:szCs w:val="21"/>
        </w:rPr>
      </w:pPr>
      <w:r>
        <w:rPr>
          <w:rFonts w:hint="eastAsia" w:ascii="宋体" w:hAnsi="宋体"/>
          <w:color w:val="auto"/>
          <w:sz w:val="21"/>
          <w:szCs w:val="21"/>
          <w:lang w:val="en-US" w:eastAsia="zh-CN"/>
        </w:rPr>
        <w:t>5</w:t>
      </w:r>
      <w:r>
        <w:rPr>
          <w:rFonts w:hint="eastAsia" w:ascii="宋体" w:hAnsi="宋体" w:cs="宋体"/>
          <w:color w:val="auto"/>
          <w:kern w:val="0"/>
          <w:sz w:val="21"/>
          <w:szCs w:val="21"/>
        </w:rPr>
        <w:t>、本工程周围建筑物及杆线的保护费、管线保护、保证交通安全等要求投标单位综合考虑，中标后措施费用不作调整。</w:t>
      </w:r>
    </w:p>
    <w:p w14:paraId="049A0729">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6</w:t>
      </w:r>
      <w:r>
        <w:rPr>
          <w:rFonts w:hint="eastAsia" w:ascii="宋体" w:hAnsi="宋体" w:cs="宋体"/>
          <w:color w:val="auto"/>
          <w:kern w:val="0"/>
          <w:sz w:val="21"/>
          <w:szCs w:val="21"/>
        </w:rPr>
        <w:t>、施工期间特别要注意加强安全措施，施工中的安全标志、警戒标志、标牌制作、夜间照明费用等安全措施费要求投标单位综合考虑，中标后措施费用不作调整。</w:t>
      </w:r>
    </w:p>
    <w:p w14:paraId="2B11BCFE">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7</w:t>
      </w:r>
      <w:r>
        <w:rPr>
          <w:rFonts w:hint="eastAsia" w:ascii="宋体" w:hAnsi="宋体" w:cs="宋体"/>
          <w:color w:val="auto"/>
          <w:kern w:val="0"/>
          <w:sz w:val="21"/>
          <w:szCs w:val="21"/>
        </w:rPr>
        <w:t>、要求投标单位综合考虑行车干扰、工程沿线的住户进出和其它工程施工干扰等因素，施工期间应保证沿线住户、单位及过往车辆、人员的正常通行，请投标单位综合考虑设置施工便道、便道日常维护等费用措施费，中标后措施费用不作调整。</w:t>
      </w:r>
    </w:p>
    <w:p w14:paraId="329B2A66">
      <w:pPr>
        <w:widowControl/>
        <w:spacing w:line="400" w:lineRule="exact"/>
        <w:jc w:val="left"/>
        <w:rPr>
          <w:rFonts w:hint="eastAsia" w:ascii="宋体" w:hAnsi="宋体" w:cs="宋体"/>
          <w:color w:val="auto"/>
          <w:kern w:val="0"/>
          <w:sz w:val="21"/>
          <w:szCs w:val="21"/>
          <w:lang w:val="zh-CN"/>
        </w:rPr>
      </w:pPr>
      <w:r>
        <w:rPr>
          <w:rFonts w:hint="eastAsia" w:ascii="宋体" w:hAnsi="宋体" w:cs="宋体"/>
          <w:color w:val="auto"/>
          <w:kern w:val="0"/>
          <w:sz w:val="21"/>
          <w:szCs w:val="21"/>
          <w:lang w:val="en-US" w:eastAsia="zh-CN"/>
        </w:rPr>
        <w:t>8</w:t>
      </w:r>
      <w:r>
        <w:rPr>
          <w:rFonts w:hint="eastAsia" w:ascii="宋体" w:hAnsi="宋体" w:cs="宋体"/>
          <w:color w:val="auto"/>
          <w:kern w:val="0"/>
          <w:sz w:val="21"/>
          <w:szCs w:val="21"/>
        </w:rPr>
        <w:t>、</w:t>
      </w:r>
      <w:r>
        <w:rPr>
          <w:rFonts w:hint="eastAsia" w:ascii="宋体" w:hAnsi="宋体" w:cs="宋体"/>
          <w:color w:val="auto"/>
          <w:kern w:val="0"/>
          <w:sz w:val="21"/>
          <w:szCs w:val="21"/>
          <w:lang w:val="zh-CN"/>
        </w:rPr>
        <w:t>施工过程中如需要与其他部门或相关单位协调与配合所产生的费用请计入措施项目清单报价中，中标后一律不予调整。中标人不文明施工引起的诸如渣土管理、交通、治安、环保等罚款及管线抢修等费用均由中标人自行承担，招标人概不负责。</w:t>
      </w:r>
    </w:p>
    <w:p w14:paraId="41321F21">
      <w:pPr>
        <w:widowControl/>
        <w:spacing w:line="400" w:lineRule="exact"/>
        <w:jc w:val="left"/>
        <w:rPr>
          <w:rFonts w:hint="eastAsia" w:ascii="宋体" w:hAnsi="宋体" w:cs="宋体"/>
          <w:color w:val="auto"/>
          <w:kern w:val="0"/>
          <w:sz w:val="21"/>
          <w:szCs w:val="21"/>
          <w:lang w:val="zh-CN"/>
        </w:rPr>
      </w:pPr>
      <w:r>
        <w:rPr>
          <w:rFonts w:hint="eastAsia" w:ascii="宋体" w:hAnsi="宋体" w:cs="宋体"/>
          <w:color w:val="auto"/>
          <w:sz w:val="21"/>
          <w:szCs w:val="21"/>
          <w:lang w:val="en-US" w:eastAsia="zh-CN"/>
        </w:rPr>
        <w:t>9、</w:t>
      </w:r>
      <w:r>
        <w:rPr>
          <w:rFonts w:ascii="宋体" w:hAnsi="宋体" w:eastAsia="宋体" w:cs="宋体"/>
          <w:color w:val="auto"/>
          <w:sz w:val="21"/>
          <w:szCs w:val="21"/>
        </w:rPr>
        <w:t>因施工图深度等原因，本清单工程量仅供投标报价使用，实际工程量待结算时按实调整。投标单位应综合工程量误差风险因素进行报价，结算时不因工程量增减变化而调整投标综合单价。</w:t>
      </w:r>
    </w:p>
    <w:p w14:paraId="6826993F">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10</w:t>
      </w:r>
      <w:r>
        <w:rPr>
          <w:rFonts w:hint="eastAsia" w:ascii="宋体" w:hAnsi="宋体" w:cs="宋体"/>
          <w:color w:val="auto"/>
          <w:kern w:val="0"/>
          <w:sz w:val="21"/>
          <w:szCs w:val="21"/>
        </w:rPr>
        <w:t>、请各投标人对施工中可能影响的交通、河道排水、现状建筑物的保护及现状管（杆）线进行调查，并考虑对具体施工的影响因素，中标后措施费用不作调整。</w:t>
      </w:r>
    </w:p>
    <w:p w14:paraId="46E63157">
      <w:pPr>
        <w:spacing w:line="400" w:lineRule="exact"/>
        <w:jc w:val="left"/>
        <w:rPr>
          <w:rFonts w:hint="default" w:ascii="Times New Roman" w:hAnsi="Times New Roman" w:eastAsia="宋体" w:cs="Times New Roman"/>
          <w:b/>
          <w:color w:val="auto"/>
          <w:sz w:val="24"/>
          <w:lang w:val="en-US" w:eastAsia="zh-CN"/>
        </w:rPr>
      </w:pPr>
      <w:r>
        <w:rPr>
          <w:rFonts w:hint="eastAsia" w:ascii="Times New Roman" w:hAnsi="Times New Roman" w:eastAsia="宋体" w:cs="Times New Roman"/>
          <w:b/>
          <w:color w:val="auto"/>
          <w:sz w:val="24"/>
          <w:lang w:val="en-US" w:eastAsia="zh-CN"/>
        </w:rPr>
        <w:t>九、品牌说明</w:t>
      </w:r>
    </w:p>
    <w:p w14:paraId="67EEACE2">
      <w:pPr>
        <w:numPr>
          <w:ilvl w:val="0"/>
          <w:numId w:val="7"/>
        </w:numPr>
        <w:rPr>
          <w:rFonts w:hint="eastAsia" w:ascii="仿宋" w:hAnsi="仿宋" w:eastAsia="仿宋" w:cs="仿宋"/>
          <w:snapToGrid w:val="0"/>
          <w:color w:val="auto"/>
          <w:spacing w:val="-3"/>
          <w:kern w:val="0"/>
          <w:sz w:val="24"/>
          <w:szCs w:val="24"/>
        </w:rPr>
      </w:pPr>
      <w:r>
        <w:rPr>
          <w:rFonts w:hint="eastAsia" w:ascii="仿宋" w:hAnsi="仿宋" w:eastAsia="仿宋" w:cs="仿宋"/>
          <w:snapToGrid w:val="0"/>
          <w:color w:val="auto"/>
          <w:spacing w:val="-3"/>
          <w:kern w:val="0"/>
          <w:sz w:val="24"/>
          <w:szCs w:val="24"/>
        </w:rPr>
        <w:t>灯具-----------------------</w:t>
      </w:r>
      <w:r>
        <w:rPr>
          <w:rFonts w:hint="eastAsia" w:ascii="仿宋" w:hAnsi="仿宋" w:eastAsia="仿宋" w:cs="仿宋"/>
          <w:snapToGrid w:val="0"/>
          <w:color w:val="auto"/>
          <w:spacing w:val="-3"/>
          <w:kern w:val="0"/>
          <w:sz w:val="24"/>
          <w:szCs w:val="24"/>
          <w:lang w:val="en-US" w:eastAsia="zh-CN"/>
        </w:rPr>
        <w:t>--------</w:t>
      </w:r>
      <w:r>
        <w:rPr>
          <w:rFonts w:hint="eastAsia" w:ascii="仿宋" w:hAnsi="仿宋" w:eastAsia="仿宋" w:cs="仿宋"/>
          <w:snapToGrid w:val="0"/>
          <w:color w:val="auto"/>
          <w:spacing w:val="-3"/>
          <w:kern w:val="0"/>
          <w:sz w:val="24"/>
          <w:szCs w:val="24"/>
        </w:rPr>
        <w:t>------</w:t>
      </w:r>
      <w:r>
        <w:rPr>
          <w:rFonts w:hint="eastAsia" w:ascii="仿宋" w:hAnsi="仿宋" w:eastAsia="仿宋" w:cs="仿宋"/>
          <w:snapToGrid w:val="0"/>
          <w:color w:val="auto"/>
          <w:spacing w:val="-3"/>
          <w:kern w:val="0"/>
          <w:sz w:val="24"/>
          <w:szCs w:val="24"/>
          <w:lang w:val="en-US" w:eastAsia="zh-CN"/>
        </w:rPr>
        <w:t>----</w:t>
      </w:r>
      <w:r>
        <w:rPr>
          <w:rFonts w:hint="eastAsia" w:ascii="仿宋" w:hAnsi="仿宋" w:eastAsia="仿宋" w:cs="仿宋"/>
          <w:snapToGrid w:val="0"/>
          <w:color w:val="auto"/>
          <w:spacing w:val="-3"/>
          <w:kern w:val="0"/>
          <w:sz w:val="24"/>
          <w:szCs w:val="24"/>
        </w:rPr>
        <w:t>-----</w:t>
      </w:r>
      <w:r>
        <w:rPr>
          <w:rFonts w:hint="eastAsia" w:ascii="仿宋" w:hAnsi="仿宋" w:eastAsia="仿宋" w:cs="仿宋"/>
          <w:snapToGrid w:val="0"/>
          <w:color w:val="auto"/>
          <w:spacing w:val="-3"/>
          <w:kern w:val="0"/>
          <w:sz w:val="24"/>
          <w:szCs w:val="24"/>
          <w:lang w:val="en-US" w:eastAsia="zh-CN"/>
        </w:rPr>
        <w:t>雷士，欧普照明，三雄极光</w:t>
      </w:r>
    </w:p>
    <w:p w14:paraId="503927F5">
      <w:pPr>
        <w:numPr>
          <w:ilvl w:val="0"/>
          <w:numId w:val="7"/>
        </w:numPr>
        <w:rPr>
          <w:rFonts w:hint="eastAsia" w:ascii="仿宋" w:hAnsi="仿宋" w:eastAsia="仿宋" w:cs="仿宋"/>
          <w:snapToGrid w:val="0"/>
          <w:color w:val="auto"/>
          <w:spacing w:val="-3"/>
          <w:kern w:val="0"/>
          <w:sz w:val="24"/>
          <w:szCs w:val="24"/>
        </w:rPr>
      </w:pPr>
      <w:r>
        <w:rPr>
          <w:rFonts w:hint="eastAsia" w:ascii="仿宋" w:hAnsi="仿宋" w:eastAsia="仿宋" w:cs="仿宋"/>
          <w:snapToGrid w:val="0"/>
          <w:color w:val="auto"/>
          <w:spacing w:val="-3"/>
          <w:kern w:val="0"/>
          <w:sz w:val="24"/>
          <w:szCs w:val="24"/>
        </w:rPr>
        <w:t>电缆、电线-------------------------------</w:t>
      </w:r>
      <w:r>
        <w:rPr>
          <w:rFonts w:hint="eastAsia" w:ascii="仿宋" w:hAnsi="仿宋" w:eastAsia="仿宋" w:cs="仿宋"/>
          <w:snapToGrid w:val="0"/>
          <w:color w:val="auto"/>
          <w:spacing w:val="-3"/>
          <w:kern w:val="0"/>
          <w:sz w:val="24"/>
          <w:szCs w:val="24"/>
          <w:lang w:val="en-US" w:eastAsia="zh-CN"/>
        </w:rPr>
        <w:t>-</w:t>
      </w:r>
      <w:r>
        <w:rPr>
          <w:rFonts w:hint="eastAsia" w:ascii="仿宋" w:hAnsi="仿宋" w:eastAsia="仿宋" w:cs="仿宋"/>
          <w:snapToGrid w:val="0"/>
          <w:color w:val="auto"/>
          <w:spacing w:val="-3"/>
          <w:kern w:val="0"/>
          <w:sz w:val="24"/>
          <w:szCs w:val="24"/>
        </w:rPr>
        <w:t>--</w:t>
      </w:r>
      <w:r>
        <w:rPr>
          <w:rFonts w:hint="eastAsia" w:ascii="仿宋" w:hAnsi="仿宋" w:eastAsia="仿宋" w:cs="仿宋"/>
          <w:snapToGrid w:val="0"/>
          <w:color w:val="auto"/>
          <w:spacing w:val="-3"/>
          <w:kern w:val="0"/>
          <w:sz w:val="24"/>
          <w:szCs w:val="24"/>
          <w:lang w:val="en-US" w:eastAsia="zh-CN"/>
        </w:rPr>
        <w:t>--------</w:t>
      </w:r>
      <w:r>
        <w:rPr>
          <w:rFonts w:hint="eastAsia" w:ascii="仿宋" w:hAnsi="仿宋" w:eastAsia="仿宋" w:cs="仿宋"/>
          <w:snapToGrid w:val="0"/>
          <w:color w:val="auto"/>
          <w:spacing w:val="-3"/>
          <w:kern w:val="0"/>
          <w:sz w:val="24"/>
          <w:szCs w:val="24"/>
        </w:rPr>
        <w:t>----</w:t>
      </w:r>
      <w:r>
        <w:rPr>
          <w:rFonts w:hint="eastAsia" w:ascii="仿宋" w:hAnsi="仿宋" w:eastAsia="仿宋" w:cs="仿宋"/>
          <w:snapToGrid w:val="0"/>
          <w:color w:val="auto"/>
          <w:spacing w:val="-3"/>
          <w:kern w:val="0"/>
          <w:sz w:val="24"/>
          <w:szCs w:val="24"/>
          <w:lang w:val="en-US" w:eastAsia="zh-CN"/>
        </w:rPr>
        <w:t>正泰，公牛，德力西</w:t>
      </w:r>
      <w:r>
        <w:rPr>
          <w:rFonts w:hint="eastAsia" w:ascii="仿宋" w:hAnsi="仿宋" w:eastAsia="仿宋" w:cs="仿宋"/>
          <w:snapToGrid w:val="0"/>
          <w:color w:val="auto"/>
          <w:spacing w:val="-3"/>
          <w:kern w:val="0"/>
          <w:sz w:val="24"/>
          <w:szCs w:val="24"/>
        </w:rPr>
        <w:t xml:space="preserve"> </w:t>
      </w:r>
    </w:p>
    <w:p w14:paraId="296107D9">
      <w:pPr>
        <w:numPr>
          <w:ilvl w:val="0"/>
          <w:numId w:val="7"/>
        </w:numPr>
        <w:rPr>
          <w:rFonts w:hint="eastAsia" w:ascii="仿宋" w:hAnsi="仿宋" w:eastAsia="仿宋" w:cs="仿宋"/>
          <w:snapToGrid w:val="0"/>
          <w:color w:val="auto"/>
          <w:spacing w:val="-3"/>
          <w:kern w:val="0"/>
          <w:sz w:val="24"/>
          <w:szCs w:val="24"/>
        </w:rPr>
      </w:pPr>
      <w:r>
        <w:rPr>
          <w:rFonts w:hint="eastAsia" w:ascii="仿宋" w:hAnsi="仿宋" w:eastAsia="仿宋" w:cs="仿宋"/>
          <w:snapToGrid w:val="0"/>
          <w:color w:val="auto"/>
          <w:spacing w:val="-3"/>
          <w:kern w:val="0"/>
          <w:sz w:val="24"/>
          <w:szCs w:val="24"/>
          <w:lang w:val="en-US" w:eastAsia="zh-CN"/>
        </w:rPr>
        <w:t>配电箱元器件推荐品牌</w:t>
      </w:r>
      <w:r>
        <w:rPr>
          <w:rFonts w:hint="eastAsia" w:ascii="仿宋" w:hAnsi="仿宋" w:eastAsia="仿宋" w:cs="仿宋"/>
          <w:snapToGrid w:val="0"/>
          <w:color w:val="auto"/>
          <w:spacing w:val="-3"/>
          <w:kern w:val="0"/>
          <w:sz w:val="24"/>
          <w:szCs w:val="24"/>
        </w:rPr>
        <w:t>----------------------</w:t>
      </w:r>
      <w:r>
        <w:rPr>
          <w:rFonts w:hint="eastAsia" w:ascii="仿宋" w:hAnsi="仿宋" w:eastAsia="仿宋" w:cs="仿宋"/>
          <w:snapToGrid w:val="0"/>
          <w:color w:val="auto"/>
          <w:spacing w:val="-3"/>
          <w:kern w:val="0"/>
          <w:sz w:val="24"/>
          <w:szCs w:val="24"/>
          <w:lang w:val="en-US" w:eastAsia="zh-CN"/>
        </w:rPr>
        <w:t>---</w:t>
      </w:r>
      <w:r>
        <w:rPr>
          <w:rFonts w:hint="eastAsia" w:ascii="仿宋" w:hAnsi="仿宋" w:eastAsia="仿宋" w:cs="仿宋"/>
          <w:snapToGrid w:val="0"/>
          <w:color w:val="auto"/>
          <w:spacing w:val="-3"/>
          <w:kern w:val="0"/>
          <w:sz w:val="24"/>
          <w:szCs w:val="24"/>
        </w:rPr>
        <w:t>-------</w:t>
      </w:r>
      <w:r>
        <w:rPr>
          <w:rFonts w:hint="eastAsia" w:ascii="仿宋" w:hAnsi="仿宋" w:eastAsia="仿宋" w:cs="仿宋"/>
          <w:snapToGrid w:val="0"/>
          <w:color w:val="auto"/>
          <w:spacing w:val="-3"/>
          <w:kern w:val="0"/>
          <w:sz w:val="24"/>
          <w:szCs w:val="24"/>
          <w:lang w:val="en-US" w:eastAsia="zh-CN"/>
        </w:rPr>
        <w:t>正泰，公牛，德力西电气</w:t>
      </w:r>
    </w:p>
    <w:p w14:paraId="0E9C9B66">
      <w:pPr>
        <w:numPr>
          <w:ilvl w:val="0"/>
          <w:numId w:val="7"/>
        </w:numPr>
        <w:rPr>
          <w:rFonts w:hint="eastAsia" w:ascii="仿宋" w:hAnsi="仿宋" w:eastAsia="仿宋" w:cs="仿宋"/>
          <w:snapToGrid w:val="0"/>
          <w:color w:val="auto"/>
          <w:spacing w:val="-3"/>
          <w:kern w:val="0"/>
          <w:sz w:val="24"/>
          <w:szCs w:val="24"/>
        </w:rPr>
      </w:pPr>
      <w:r>
        <w:rPr>
          <w:rFonts w:hint="eastAsia" w:ascii="仿宋" w:hAnsi="仿宋" w:eastAsia="仿宋" w:cs="仿宋"/>
          <w:snapToGrid w:val="0"/>
          <w:color w:val="auto"/>
          <w:spacing w:val="-3"/>
          <w:kern w:val="0"/>
          <w:sz w:val="24"/>
          <w:szCs w:val="24"/>
        </w:rPr>
        <w:t>板材</w:t>
      </w:r>
      <w:r>
        <w:rPr>
          <w:rFonts w:hint="eastAsia" w:ascii="仿宋" w:hAnsi="仿宋" w:eastAsia="仿宋" w:cs="仿宋"/>
          <w:snapToGrid w:val="0"/>
          <w:color w:val="auto"/>
          <w:spacing w:val="-3"/>
          <w:kern w:val="0"/>
          <w:sz w:val="24"/>
          <w:szCs w:val="24"/>
          <w:lang w:eastAsia="zh-CN"/>
        </w:rPr>
        <w:t>、</w:t>
      </w:r>
      <w:r>
        <w:rPr>
          <w:rFonts w:hint="eastAsia" w:ascii="仿宋" w:hAnsi="仿宋" w:eastAsia="仿宋" w:cs="仿宋"/>
          <w:snapToGrid w:val="0"/>
          <w:color w:val="auto"/>
          <w:spacing w:val="-3"/>
          <w:kern w:val="0"/>
          <w:sz w:val="24"/>
          <w:szCs w:val="24"/>
          <w:lang w:val="en-US" w:eastAsia="zh-CN"/>
        </w:rPr>
        <w:t>木饰面</w:t>
      </w:r>
      <w:r>
        <w:rPr>
          <w:rFonts w:hint="eastAsia" w:ascii="仿宋" w:hAnsi="仿宋" w:eastAsia="仿宋" w:cs="仿宋"/>
          <w:snapToGrid w:val="0"/>
          <w:color w:val="auto"/>
          <w:spacing w:val="-3"/>
          <w:kern w:val="0"/>
          <w:sz w:val="24"/>
          <w:szCs w:val="24"/>
        </w:rPr>
        <w:t xml:space="preserve">----------------------------------------兔宝宝、莫干山、千年舟 </w:t>
      </w:r>
    </w:p>
    <w:p w14:paraId="3CA0B300">
      <w:pPr>
        <w:numPr>
          <w:ilvl w:val="0"/>
          <w:numId w:val="7"/>
        </w:numPr>
        <w:rPr>
          <w:rFonts w:hint="eastAsia" w:ascii="仿宋" w:hAnsi="仿宋" w:eastAsia="仿宋" w:cs="仿宋"/>
          <w:snapToGrid w:val="0"/>
          <w:color w:val="auto"/>
          <w:spacing w:val="-3"/>
          <w:kern w:val="0"/>
          <w:sz w:val="24"/>
          <w:szCs w:val="24"/>
        </w:rPr>
      </w:pPr>
      <w:r>
        <w:rPr>
          <w:rFonts w:hint="eastAsia" w:ascii="仿宋" w:hAnsi="仿宋" w:eastAsia="仿宋" w:cs="仿宋"/>
          <w:snapToGrid w:val="0"/>
          <w:color w:val="auto"/>
          <w:spacing w:val="-3"/>
          <w:kern w:val="0"/>
          <w:sz w:val="24"/>
          <w:szCs w:val="24"/>
        </w:rPr>
        <w:t>轻钢龙骨------------------------------------------------可耐福、杰科、龙牌</w:t>
      </w:r>
    </w:p>
    <w:p w14:paraId="4923D60B">
      <w:pPr>
        <w:numPr>
          <w:ilvl w:val="0"/>
          <w:numId w:val="7"/>
        </w:numPr>
        <w:rPr>
          <w:rFonts w:hint="eastAsia" w:ascii="仿宋" w:hAnsi="仿宋" w:eastAsia="仿宋" w:cs="仿宋"/>
          <w:snapToGrid w:val="0"/>
          <w:color w:val="auto"/>
          <w:spacing w:val="-3"/>
          <w:kern w:val="0"/>
          <w:sz w:val="24"/>
          <w:szCs w:val="24"/>
        </w:rPr>
      </w:pPr>
      <w:r>
        <w:rPr>
          <w:rFonts w:hint="eastAsia" w:ascii="仿宋" w:hAnsi="仿宋" w:eastAsia="仿宋" w:cs="仿宋"/>
          <w:snapToGrid w:val="0"/>
          <w:color w:val="auto"/>
          <w:spacing w:val="-3"/>
          <w:kern w:val="0"/>
          <w:sz w:val="24"/>
          <w:szCs w:val="24"/>
        </w:rPr>
        <w:t xml:space="preserve">石膏板-------------------------------------------------可耐福，圣戈班,龙牌 </w:t>
      </w:r>
    </w:p>
    <w:p w14:paraId="68CF2AA8">
      <w:pPr>
        <w:numPr>
          <w:ilvl w:val="0"/>
          <w:numId w:val="7"/>
        </w:numPr>
        <w:rPr>
          <w:rFonts w:hint="eastAsia" w:ascii="仿宋" w:hAnsi="仿宋" w:eastAsia="仿宋" w:cs="仿宋"/>
          <w:snapToGrid w:val="0"/>
          <w:color w:val="auto"/>
          <w:spacing w:val="-3"/>
          <w:kern w:val="0"/>
          <w:sz w:val="24"/>
          <w:szCs w:val="24"/>
        </w:rPr>
      </w:pPr>
      <w:r>
        <w:rPr>
          <w:rFonts w:hint="eastAsia" w:ascii="仿宋" w:hAnsi="仿宋" w:eastAsia="仿宋" w:cs="仿宋"/>
          <w:snapToGrid w:val="0"/>
          <w:color w:val="auto"/>
          <w:spacing w:val="-3"/>
          <w:kern w:val="0"/>
          <w:sz w:val="24"/>
          <w:szCs w:val="24"/>
        </w:rPr>
        <w:t>瓷砖</w:t>
      </w:r>
      <w:r>
        <w:rPr>
          <w:rFonts w:hint="eastAsia" w:ascii="仿宋" w:hAnsi="仿宋" w:eastAsia="仿宋" w:cs="仿宋"/>
          <w:snapToGrid w:val="0"/>
          <w:color w:val="auto"/>
          <w:spacing w:val="-3"/>
          <w:kern w:val="0"/>
          <w:sz w:val="24"/>
          <w:szCs w:val="24"/>
          <w:lang w:val="en-US" w:eastAsia="zh-CN"/>
        </w:rPr>
        <w:t>------</w:t>
      </w:r>
      <w:r>
        <w:rPr>
          <w:rFonts w:hint="eastAsia" w:ascii="仿宋" w:hAnsi="仿宋" w:eastAsia="仿宋" w:cs="仿宋"/>
          <w:snapToGrid w:val="0"/>
          <w:color w:val="auto"/>
          <w:spacing w:val="-3"/>
          <w:kern w:val="0"/>
          <w:sz w:val="24"/>
          <w:szCs w:val="24"/>
        </w:rPr>
        <w:t>-----------</w:t>
      </w:r>
      <w:r>
        <w:rPr>
          <w:rFonts w:hint="eastAsia" w:ascii="仿宋" w:hAnsi="仿宋" w:eastAsia="仿宋" w:cs="仿宋"/>
          <w:snapToGrid w:val="0"/>
          <w:color w:val="auto"/>
          <w:spacing w:val="-3"/>
          <w:kern w:val="0"/>
          <w:sz w:val="24"/>
          <w:szCs w:val="24"/>
          <w:lang w:val="en-US" w:eastAsia="zh-CN"/>
        </w:rPr>
        <w:t>-</w:t>
      </w:r>
      <w:r>
        <w:rPr>
          <w:rFonts w:hint="eastAsia" w:ascii="仿宋" w:hAnsi="仿宋" w:eastAsia="仿宋" w:cs="仿宋"/>
          <w:snapToGrid w:val="0"/>
          <w:color w:val="auto"/>
          <w:spacing w:val="-3"/>
          <w:kern w:val="0"/>
          <w:sz w:val="24"/>
          <w:szCs w:val="24"/>
        </w:rPr>
        <w:t>--------------</w:t>
      </w:r>
      <w:r>
        <w:rPr>
          <w:rFonts w:hint="eastAsia" w:ascii="仿宋" w:hAnsi="仿宋" w:eastAsia="仿宋" w:cs="仿宋"/>
          <w:snapToGrid w:val="0"/>
          <w:color w:val="auto"/>
          <w:spacing w:val="-3"/>
          <w:kern w:val="0"/>
          <w:sz w:val="24"/>
          <w:szCs w:val="24"/>
          <w:lang w:val="en-US" w:eastAsia="zh-CN"/>
        </w:rPr>
        <w:t>----------</w:t>
      </w:r>
      <w:r>
        <w:rPr>
          <w:rFonts w:hint="eastAsia" w:ascii="仿宋" w:hAnsi="仿宋" w:eastAsia="仿宋" w:cs="仿宋"/>
          <w:snapToGrid w:val="0"/>
          <w:color w:val="auto"/>
          <w:spacing w:val="-3"/>
          <w:kern w:val="0"/>
          <w:sz w:val="24"/>
          <w:szCs w:val="24"/>
        </w:rPr>
        <w:t>------东鹏、马可波罗、诺贝尔</w:t>
      </w:r>
    </w:p>
    <w:p w14:paraId="691E98F2">
      <w:pPr>
        <w:numPr>
          <w:ilvl w:val="0"/>
          <w:numId w:val="7"/>
        </w:numPr>
        <w:rPr>
          <w:rFonts w:hint="eastAsia" w:ascii="仿宋" w:hAnsi="仿宋" w:eastAsia="仿宋" w:cs="仿宋"/>
          <w:snapToGrid w:val="0"/>
          <w:color w:val="auto"/>
          <w:spacing w:val="-3"/>
          <w:kern w:val="0"/>
          <w:sz w:val="24"/>
          <w:szCs w:val="24"/>
        </w:rPr>
      </w:pPr>
      <w:r>
        <w:rPr>
          <w:rFonts w:hint="eastAsia" w:ascii="仿宋" w:hAnsi="仿宋" w:eastAsia="仿宋" w:cs="仿宋"/>
          <w:snapToGrid w:val="0"/>
          <w:color w:val="auto"/>
          <w:spacing w:val="-3"/>
          <w:kern w:val="0"/>
          <w:sz w:val="24"/>
          <w:szCs w:val="24"/>
        </w:rPr>
        <w:t>涂料、艺术涂料----</w:t>
      </w:r>
      <w:r>
        <w:rPr>
          <w:rFonts w:hint="eastAsia" w:ascii="仿宋" w:hAnsi="仿宋" w:eastAsia="仿宋" w:cs="仿宋"/>
          <w:snapToGrid w:val="0"/>
          <w:color w:val="auto"/>
          <w:spacing w:val="-3"/>
          <w:kern w:val="0"/>
          <w:sz w:val="24"/>
          <w:szCs w:val="24"/>
          <w:lang w:val="en-US" w:eastAsia="zh-CN"/>
        </w:rPr>
        <w:t>-</w:t>
      </w:r>
      <w:r>
        <w:rPr>
          <w:rFonts w:hint="eastAsia" w:ascii="仿宋" w:hAnsi="仿宋" w:eastAsia="仿宋" w:cs="仿宋"/>
          <w:snapToGrid w:val="0"/>
          <w:color w:val="auto"/>
          <w:spacing w:val="-3"/>
          <w:kern w:val="0"/>
          <w:sz w:val="24"/>
          <w:szCs w:val="24"/>
        </w:rPr>
        <w:t>-----------</w:t>
      </w:r>
      <w:r>
        <w:rPr>
          <w:rFonts w:hint="eastAsia" w:ascii="仿宋" w:hAnsi="仿宋" w:eastAsia="仿宋" w:cs="仿宋"/>
          <w:snapToGrid w:val="0"/>
          <w:color w:val="auto"/>
          <w:spacing w:val="-3"/>
          <w:kern w:val="0"/>
          <w:sz w:val="24"/>
          <w:szCs w:val="24"/>
          <w:lang w:val="en-US" w:eastAsia="zh-CN"/>
        </w:rPr>
        <w:t>-------</w:t>
      </w:r>
      <w:r>
        <w:rPr>
          <w:rFonts w:hint="eastAsia" w:ascii="仿宋" w:hAnsi="仿宋" w:eastAsia="仿宋" w:cs="仿宋"/>
          <w:snapToGrid w:val="0"/>
          <w:color w:val="auto"/>
          <w:spacing w:val="-3"/>
          <w:kern w:val="0"/>
          <w:sz w:val="24"/>
          <w:szCs w:val="24"/>
        </w:rPr>
        <w:t>-----------------三棵树、立邦、嘉宝莉</w:t>
      </w:r>
    </w:p>
    <w:p w14:paraId="122F2A07">
      <w:pPr>
        <w:keepNext w:val="0"/>
        <w:keepLines w:val="0"/>
        <w:widowControl/>
        <w:suppressLineNumbers w:val="0"/>
        <w:jc w:val="left"/>
        <w:rPr>
          <w:color w:val="auto"/>
        </w:rPr>
      </w:pPr>
      <w:r>
        <w:rPr>
          <w:rFonts w:ascii="仿宋" w:hAnsi="仿宋" w:eastAsia="仿宋" w:cs="仿宋"/>
          <w:color w:val="auto"/>
          <w:kern w:val="0"/>
          <w:sz w:val="24"/>
          <w:szCs w:val="24"/>
          <w:lang w:val="en-US" w:eastAsia="zh-CN" w:bidi="ar"/>
        </w:rPr>
        <w:t xml:space="preserve">注：1、本工程以上这些材料、设备必须按上述注明的厂家和品牌或同档次及以上品牌施 </w:t>
      </w:r>
    </w:p>
    <w:p w14:paraId="6999610D">
      <w:pPr>
        <w:keepNext w:val="0"/>
        <w:keepLines w:val="0"/>
        <w:widowControl/>
        <w:suppressLineNumbers w:val="0"/>
        <w:jc w:val="left"/>
      </w:pPr>
      <w:r>
        <w:rPr>
          <w:rFonts w:hint="eastAsia" w:ascii="仿宋" w:hAnsi="仿宋" w:eastAsia="仿宋" w:cs="仿宋"/>
          <w:color w:val="auto"/>
          <w:kern w:val="0"/>
          <w:sz w:val="24"/>
          <w:szCs w:val="24"/>
          <w:lang w:val="en-US" w:eastAsia="zh-CN" w:bidi="ar"/>
        </w:rPr>
        <w:t>工，价格由投标单位自行报价。未注明的材料、设备应当采用市场主流品牌。所</w:t>
      </w:r>
      <w:r>
        <w:rPr>
          <w:rFonts w:hint="eastAsia" w:ascii="仿宋" w:hAnsi="仿宋" w:eastAsia="仿宋" w:cs="仿宋"/>
          <w:color w:val="000000"/>
          <w:kern w:val="0"/>
          <w:sz w:val="24"/>
          <w:szCs w:val="24"/>
          <w:lang w:val="en-US" w:eastAsia="zh-CN" w:bidi="ar"/>
        </w:rPr>
        <w:t xml:space="preserve">采购材 </w:t>
      </w:r>
    </w:p>
    <w:p w14:paraId="20E0CE96">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料必须符合施工图设计、国标、现行施工验收规范要求，材料采购前需提前向建设单位 </w:t>
      </w:r>
    </w:p>
    <w:p w14:paraId="4FE1BB3B">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及监理单位报备，并经监理单位、建设单位认可后才能使用到本工程。若因特殊原因 </w:t>
      </w:r>
    </w:p>
    <w:p w14:paraId="320DFDD7">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（如：厂家不生产某种型号或者规格、或者企业停产等）无法在以上推荐品牌中采购 </w:t>
      </w:r>
    </w:p>
    <w:p w14:paraId="0A9F2A9F">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的，施工单位应递交有关证明材料，经相关单位核实后，可报送建设单位更换品牌，更 </w:t>
      </w:r>
    </w:p>
    <w:p w14:paraId="53386FA5">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换的品牌不得低于推荐品牌，未经允许擅自变更品牌的，建设单位有权根据合同及其有 </w:t>
      </w:r>
    </w:p>
    <w:p w14:paraId="3DA4D659">
      <w:pPr>
        <w:keepNext w:val="0"/>
        <w:keepLines w:val="0"/>
        <w:widowControl/>
        <w:suppressLineNumbers w:val="0"/>
        <w:jc w:val="left"/>
        <w:rPr>
          <w:rFonts w:hint="default"/>
          <w:lang w:val="en-US" w:eastAsia="zh-CN"/>
        </w:rPr>
      </w:pPr>
      <w:r>
        <w:rPr>
          <w:rFonts w:hint="eastAsia" w:ascii="仿宋" w:hAnsi="仿宋" w:eastAsia="仿宋" w:cs="仿宋"/>
          <w:color w:val="000000"/>
          <w:kern w:val="0"/>
          <w:sz w:val="24"/>
          <w:szCs w:val="24"/>
          <w:lang w:val="en-US" w:eastAsia="zh-CN" w:bidi="ar"/>
        </w:rPr>
        <w:t>关约定进行处罚。</w:t>
      </w:r>
    </w:p>
    <w:sectPr>
      <w:footerReference r:id="rId3" w:type="default"/>
      <w:footerReference r:id="rId4" w:type="even"/>
      <w:pgSz w:w="11907" w:h="16840"/>
      <w:pgMar w:top="1713" w:right="1107" w:bottom="1402"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1EC6F">
    <w:pPr>
      <w:pStyle w:val="6"/>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1A443">
    <w:pPr>
      <w:pStyle w:val="6"/>
      <w:framePr w:wrap="around" w:vAnchor="text" w:hAnchor="margin" w:xAlign="center" w:y="1"/>
      <w:rPr>
        <w:rStyle w:val="14"/>
      </w:rPr>
    </w:pPr>
    <w:r>
      <w:fldChar w:fldCharType="begin"/>
    </w:r>
    <w:r>
      <w:rPr>
        <w:rStyle w:val="14"/>
      </w:rPr>
      <w:instrText xml:space="preserve">PAGE  </w:instrText>
    </w:r>
    <w:r>
      <w:fldChar w:fldCharType="end"/>
    </w:r>
  </w:p>
  <w:p w14:paraId="0ACFDFAD">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38BEB0"/>
    <w:multiLevelType w:val="singleLevel"/>
    <w:tmpl w:val="F538BEB0"/>
    <w:lvl w:ilvl="0" w:tentative="0">
      <w:start w:val="3"/>
      <w:numFmt w:val="decimal"/>
      <w:suff w:val="nothing"/>
      <w:lvlText w:val="%1、"/>
      <w:lvlJc w:val="left"/>
    </w:lvl>
  </w:abstractNum>
  <w:abstractNum w:abstractNumId="1">
    <w:nsid w:val="18580190"/>
    <w:multiLevelType w:val="singleLevel"/>
    <w:tmpl w:val="18580190"/>
    <w:lvl w:ilvl="0" w:tentative="0">
      <w:start w:val="7"/>
      <w:numFmt w:val="chineseCounting"/>
      <w:lvlText w:val="%1."/>
      <w:lvlJc w:val="left"/>
      <w:pPr>
        <w:tabs>
          <w:tab w:val="left" w:pos="312"/>
        </w:tabs>
      </w:pPr>
      <w:rPr>
        <w:rFonts w:hint="eastAsia"/>
      </w:rPr>
    </w:lvl>
  </w:abstractNum>
  <w:abstractNum w:abstractNumId="2">
    <w:nsid w:val="25E60F47"/>
    <w:multiLevelType w:val="multilevel"/>
    <w:tmpl w:val="25E60F47"/>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065614E"/>
    <w:multiLevelType w:val="multilevel"/>
    <w:tmpl w:val="3065614E"/>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4">
    <w:nsid w:val="5E1339E5"/>
    <w:multiLevelType w:val="multilevel"/>
    <w:tmpl w:val="5E1339E5"/>
    <w:lvl w:ilvl="0" w:tentative="0">
      <w:start w:val="1"/>
      <w:numFmt w:val="chineseCountingThousand"/>
      <w:lvlText w:val="%1."/>
      <w:lvlJc w:val="left"/>
      <w:pPr>
        <w:tabs>
          <w:tab w:val="left" w:pos="420"/>
        </w:tabs>
        <w:ind w:left="420" w:hanging="420"/>
      </w:pPr>
      <w:rPr>
        <w:rFonts w:hint="eastAsia" w:eastAsia="宋体"/>
        <w:b/>
        <w:color w:val="FF0000"/>
        <w:lang w:val="en-US"/>
      </w:rPr>
    </w:lvl>
    <w:lvl w:ilvl="1" w:tentative="0">
      <w:start w:val="1"/>
      <w:numFmt w:val="decimal"/>
      <w:lvlText w:val="%2、"/>
      <w:lvlJc w:val="left"/>
      <w:pPr>
        <w:tabs>
          <w:tab w:val="left" w:pos="1140"/>
        </w:tabs>
        <w:ind w:left="1140" w:hanging="720"/>
      </w:pPr>
      <w:rPr>
        <w:rFonts w:hint="eastAsia"/>
      </w:rPr>
    </w:lvl>
    <w:lvl w:ilvl="2" w:tentative="0">
      <w:start w:val="1"/>
      <w:numFmt w:val="lowerLetter"/>
      <w:lvlText w:val="%3、"/>
      <w:lvlJc w:val="left"/>
      <w:pPr>
        <w:tabs>
          <w:tab w:val="left" w:pos="1560"/>
        </w:tabs>
        <w:ind w:left="1560" w:hanging="720"/>
      </w:pPr>
      <w:rPr>
        <w:rFonts w:hint="default"/>
      </w:rPr>
    </w:lvl>
    <w:lvl w:ilvl="3" w:tentative="0">
      <w:start w:val="1"/>
      <w:numFmt w:val="decimal"/>
      <w:lvlText w:val="（%4）"/>
      <w:lvlJc w:val="left"/>
      <w:pPr>
        <w:tabs>
          <w:tab w:val="left" w:pos="1980"/>
        </w:tabs>
        <w:ind w:left="1980" w:hanging="720"/>
      </w:pPr>
      <w:rPr>
        <w:rFonts w:hint="eastAsia"/>
      </w:rPr>
    </w:lvl>
    <w:lvl w:ilvl="4" w:tentative="0">
      <w:start w:val="1"/>
      <w:numFmt w:val="japaneseCounting"/>
      <w:lvlText w:val="（%5）"/>
      <w:lvlJc w:val="left"/>
      <w:pPr>
        <w:tabs>
          <w:tab w:val="left" w:pos="2535"/>
        </w:tabs>
        <w:ind w:left="2535" w:hanging="855"/>
      </w:pPr>
      <w:rPr>
        <w:rFonts w:hint="eastAsia"/>
      </w:rPr>
    </w:lvl>
    <w:lvl w:ilvl="5" w:tentative="0">
      <w:start w:val="1"/>
      <w:numFmt w:val="decimal"/>
      <w:lvlText w:val="%6．"/>
      <w:lvlJc w:val="left"/>
      <w:pPr>
        <w:tabs>
          <w:tab w:val="left" w:pos="2820"/>
        </w:tabs>
        <w:ind w:left="2820" w:hanging="720"/>
      </w:pPr>
      <w:rPr>
        <w:rFonts w:hint="eastAsia"/>
      </w:rPr>
    </w:lvl>
    <w:lvl w:ilvl="6" w:tentative="0">
      <w:start w:val="1"/>
      <w:numFmt w:val="decimal"/>
      <w:lvlText w:val="%7"/>
      <w:lvlJc w:val="left"/>
      <w:pPr>
        <w:tabs>
          <w:tab w:val="left" w:pos="2895"/>
        </w:tabs>
        <w:ind w:left="2895" w:hanging="375"/>
      </w:pPr>
      <w:rPr>
        <w:rFonts w:hint="default"/>
        <w:b/>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F9B04EE"/>
    <w:multiLevelType w:val="singleLevel"/>
    <w:tmpl w:val="5F9B04EE"/>
    <w:lvl w:ilvl="0" w:tentative="0">
      <w:start w:val="1"/>
      <w:numFmt w:val="decimal"/>
      <w:suff w:val="nothing"/>
      <w:lvlText w:val="%1、"/>
      <w:lvlJc w:val="left"/>
    </w:lvl>
  </w:abstractNum>
  <w:abstractNum w:abstractNumId="6">
    <w:nsid w:val="7561D388"/>
    <w:multiLevelType w:val="singleLevel"/>
    <w:tmpl w:val="7561D388"/>
    <w:lvl w:ilvl="0" w:tentative="0">
      <w:start w:val="1"/>
      <w:numFmt w:val="decimal"/>
      <w:suff w:val="nothing"/>
      <w:lvlText w:val="%1．"/>
      <w:lvlJc w:val="left"/>
      <w:pPr>
        <w:ind w:left="0" w:firstLine="400"/>
      </w:pPr>
      <w:rPr>
        <w:rFonts w:hint="default"/>
      </w:rPr>
    </w:lvl>
  </w:abstractNum>
  <w:num w:numId="1">
    <w:abstractNumId w:val="4"/>
  </w:num>
  <w:num w:numId="2">
    <w:abstractNumId w:val="3"/>
  </w:num>
  <w:num w:numId="3">
    <w:abstractNumId w:val="2"/>
  </w:num>
  <w:num w:numId="4">
    <w:abstractNumId w:val="5"/>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2ZjdjZDI4NjA5ODA2YjJlYjk2ZTQzOTAyNWEwMDMifQ=="/>
  </w:docVars>
  <w:rsids>
    <w:rsidRoot w:val="00E85A99"/>
    <w:rsid w:val="000076D0"/>
    <w:rsid w:val="000134DA"/>
    <w:rsid w:val="00023309"/>
    <w:rsid w:val="0004283C"/>
    <w:rsid w:val="00056F9C"/>
    <w:rsid w:val="00095819"/>
    <w:rsid w:val="000A1D2A"/>
    <w:rsid w:val="000A74D7"/>
    <w:rsid w:val="000A7E43"/>
    <w:rsid w:val="000C04A2"/>
    <w:rsid w:val="000D16B3"/>
    <w:rsid w:val="000D40B5"/>
    <w:rsid w:val="000E1B8A"/>
    <w:rsid w:val="00105B10"/>
    <w:rsid w:val="00107A1D"/>
    <w:rsid w:val="0013295C"/>
    <w:rsid w:val="0016208F"/>
    <w:rsid w:val="001636FA"/>
    <w:rsid w:val="00165917"/>
    <w:rsid w:val="00172803"/>
    <w:rsid w:val="00175856"/>
    <w:rsid w:val="001763E9"/>
    <w:rsid w:val="00194A80"/>
    <w:rsid w:val="00196B90"/>
    <w:rsid w:val="001C2FD9"/>
    <w:rsid w:val="001C713A"/>
    <w:rsid w:val="001D668C"/>
    <w:rsid w:val="001E10E6"/>
    <w:rsid w:val="001F67CF"/>
    <w:rsid w:val="001F753F"/>
    <w:rsid w:val="002156DE"/>
    <w:rsid w:val="00217015"/>
    <w:rsid w:val="00224911"/>
    <w:rsid w:val="00224D5D"/>
    <w:rsid w:val="00224DD7"/>
    <w:rsid w:val="00225A20"/>
    <w:rsid w:val="002356E4"/>
    <w:rsid w:val="002541FB"/>
    <w:rsid w:val="00262B75"/>
    <w:rsid w:val="0027675F"/>
    <w:rsid w:val="00277D57"/>
    <w:rsid w:val="002922D3"/>
    <w:rsid w:val="00295389"/>
    <w:rsid w:val="0029765B"/>
    <w:rsid w:val="002A110A"/>
    <w:rsid w:val="002A7B38"/>
    <w:rsid w:val="002B15C0"/>
    <w:rsid w:val="002C7C12"/>
    <w:rsid w:val="002D5A38"/>
    <w:rsid w:val="002D76FA"/>
    <w:rsid w:val="002E5172"/>
    <w:rsid w:val="002E5C9D"/>
    <w:rsid w:val="002F4A3C"/>
    <w:rsid w:val="002F61C2"/>
    <w:rsid w:val="00303850"/>
    <w:rsid w:val="0030681C"/>
    <w:rsid w:val="003079A0"/>
    <w:rsid w:val="00310E8D"/>
    <w:rsid w:val="00322D60"/>
    <w:rsid w:val="0032746B"/>
    <w:rsid w:val="00343FBB"/>
    <w:rsid w:val="003461CC"/>
    <w:rsid w:val="003A62AD"/>
    <w:rsid w:val="003B2676"/>
    <w:rsid w:val="003B46E5"/>
    <w:rsid w:val="003C0827"/>
    <w:rsid w:val="003C53D3"/>
    <w:rsid w:val="003C7602"/>
    <w:rsid w:val="003E0993"/>
    <w:rsid w:val="003E55E2"/>
    <w:rsid w:val="003F1A01"/>
    <w:rsid w:val="003F456D"/>
    <w:rsid w:val="003F7C24"/>
    <w:rsid w:val="00402C17"/>
    <w:rsid w:val="004046D9"/>
    <w:rsid w:val="004053DC"/>
    <w:rsid w:val="0043389B"/>
    <w:rsid w:val="004361B0"/>
    <w:rsid w:val="00450D2E"/>
    <w:rsid w:val="00462762"/>
    <w:rsid w:val="00481E67"/>
    <w:rsid w:val="004916C1"/>
    <w:rsid w:val="00491929"/>
    <w:rsid w:val="00496A29"/>
    <w:rsid w:val="004B78EF"/>
    <w:rsid w:val="004C441B"/>
    <w:rsid w:val="004E5C29"/>
    <w:rsid w:val="004E5E41"/>
    <w:rsid w:val="004F3A4F"/>
    <w:rsid w:val="004F7BF4"/>
    <w:rsid w:val="00520E55"/>
    <w:rsid w:val="005301A2"/>
    <w:rsid w:val="00542471"/>
    <w:rsid w:val="00543DA0"/>
    <w:rsid w:val="00556F25"/>
    <w:rsid w:val="005706E5"/>
    <w:rsid w:val="005A2471"/>
    <w:rsid w:val="005B1509"/>
    <w:rsid w:val="005B2A79"/>
    <w:rsid w:val="005B763D"/>
    <w:rsid w:val="005C023B"/>
    <w:rsid w:val="005C1933"/>
    <w:rsid w:val="005C21D1"/>
    <w:rsid w:val="005D6C44"/>
    <w:rsid w:val="005E2E4B"/>
    <w:rsid w:val="005E70EB"/>
    <w:rsid w:val="005F74ED"/>
    <w:rsid w:val="00605CE7"/>
    <w:rsid w:val="0061647A"/>
    <w:rsid w:val="0062148D"/>
    <w:rsid w:val="00625525"/>
    <w:rsid w:val="00684314"/>
    <w:rsid w:val="00691FD7"/>
    <w:rsid w:val="006B73E4"/>
    <w:rsid w:val="006D603F"/>
    <w:rsid w:val="006E6140"/>
    <w:rsid w:val="006E63EF"/>
    <w:rsid w:val="0070377A"/>
    <w:rsid w:val="00704E29"/>
    <w:rsid w:val="00712F38"/>
    <w:rsid w:val="00713722"/>
    <w:rsid w:val="00743985"/>
    <w:rsid w:val="00750155"/>
    <w:rsid w:val="007525BD"/>
    <w:rsid w:val="0075442B"/>
    <w:rsid w:val="0078028B"/>
    <w:rsid w:val="00783EED"/>
    <w:rsid w:val="00784D62"/>
    <w:rsid w:val="007C0F41"/>
    <w:rsid w:val="007C4B3B"/>
    <w:rsid w:val="007D1EB7"/>
    <w:rsid w:val="007D4169"/>
    <w:rsid w:val="007F73E4"/>
    <w:rsid w:val="00816A12"/>
    <w:rsid w:val="008243E0"/>
    <w:rsid w:val="00834A5A"/>
    <w:rsid w:val="0085016B"/>
    <w:rsid w:val="00855592"/>
    <w:rsid w:val="00857ED6"/>
    <w:rsid w:val="008813D4"/>
    <w:rsid w:val="008960AF"/>
    <w:rsid w:val="008A46DB"/>
    <w:rsid w:val="008B70E1"/>
    <w:rsid w:val="008C14D3"/>
    <w:rsid w:val="008F3B8D"/>
    <w:rsid w:val="00904D1E"/>
    <w:rsid w:val="0090607D"/>
    <w:rsid w:val="00946156"/>
    <w:rsid w:val="009579BC"/>
    <w:rsid w:val="00961B24"/>
    <w:rsid w:val="00965D60"/>
    <w:rsid w:val="009703F6"/>
    <w:rsid w:val="00985A8A"/>
    <w:rsid w:val="00992B1F"/>
    <w:rsid w:val="009936A9"/>
    <w:rsid w:val="009A62E9"/>
    <w:rsid w:val="009C088F"/>
    <w:rsid w:val="009E05A9"/>
    <w:rsid w:val="00A27702"/>
    <w:rsid w:val="00A31541"/>
    <w:rsid w:val="00A34BAE"/>
    <w:rsid w:val="00A3518F"/>
    <w:rsid w:val="00A83BDC"/>
    <w:rsid w:val="00AC2E55"/>
    <w:rsid w:val="00AD07CB"/>
    <w:rsid w:val="00AD6477"/>
    <w:rsid w:val="00AE6928"/>
    <w:rsid w:val="00AF2348"/>
    <w:rsid w:val="00B00553"/>
    <w:rsid w:val="00B12831"/>
    <w:rsid w:val="00B31A4B"/>
    <w:rsid w:val="00B426BF"/>
    <w:rsid w:val="00B42EC1"/>
    <w:rsid w:val="00B53D8F"/>
    <w:rsid w:val="00B64B52"/>
    <w:rsid w:val="00B674E8"/>
    <w:rsid w:val="00B9212B"/>
    <w:rsid w:val="00BA55F7"/>
    <w:rsid w:val="00BB4AF8"/>
    <w:rsid w:val="00BD1062"/>
    <w:rsid w:val="00BD4C9A"/>
    <w:rsid w:val="00BF5176"/>
    <w:rsid w:val="00C1557E"/>
    <w:rsid w:val="00C16120"/>
    <w:rsid w:val="00C1683B"/>
    <w:rsid w:val="00C16E8C"/>
    <w:rsid w:val="00C31F60"/>
    <w:rsid w:val="00C52134"/>
    <w:rsid w:val="00C52457"/>
    <w:rsid w:val="00C532E5"/>
    <w:rsid w:val="00C5776A"/>
    <w:rsid w:val="00C855E7"/>
    <w:rsid w:val="00C911B9"/>
    <w:rsid w:val="00CA1C80"/>
    <w:rsid w:val="00CA3D49"/>
    <w:rsid w:val="00CA46CA"/>
    <w:rsid w:val="00CA634B"/>
    <w:rsid w:val="00CB30B8"/>
    <w:rsid w:val="00CC49DB"/>
    <w:rsid w:val="00CD0BF2"/>
    <w:rsid w:val="00CE4BD8"/>
    <w:rsid w:val="00CF5B2C"/>
    <w:rsid w:val="00CF6C9D"/>
    <w:rsid w:val="00D107C0"/>
    <w:rsid w:val="00D23326"/>
    <w:rsid w:val="00D3555F"/>
    <w:rsid w:val="00D3671B"/>
    <w:rsid w:val="00D46BE2"/>
    <w:rsid w:val="00D56502"/>
    <w:rsid w:val="00D63AD7"/>
    <w:rsid w:val="00D70AF0"/>
    <w:rsid w:val="00D85F5A"/>
    <w:rsid w:val="00D92917"/>
    <w:rsid w:val="00D94491"/>
    <w:rsid w:val="00D94CCC"/>
    <w:rsid w:val="00DA50B0"/>
    <w:rsid w:val="00DB14E6"/>
    <w:rsid w:val="00DB6AA0"/>
    <w:rsid w:val="00DC3569"/>
    <w:rsid w:val="00DD52A4"/>
    <w:rsid w:val="00E02725"/>
    <w:rsid w:val="00E127A5"/>
    <w:rsid w:val="00E30D6D"/>
    <w:rsid w:val="00E542C8"/>
    <w:rsid w:val="00E6597A"/>
    <w:rsid w:val="00E81E84"/>
    <w:rsid w:val="00E85A99"/>
    <w:rsid w:val="00EA6EFB"/>
    <w:rsid w:val="00EB22E6"/>
    <w:rsid w:val="00ED0C4E"/>
    <w:rsid w:val="00ED299B"/>
    <w:rsid w:val="00ED6E43"/>
    <w:rsid w:val="00EF40F3"/>
    <w:rsid w:val="00F20711"/>
    <w:rsid w:val="00F307F4"/>
    <w:rsid w:val="00F44C0A"/>
    <w:rsid w:val="00F50EED"/>
    <w:rsid w:val="00F60A13"/>
    <w:rsid w:val="00F65E5C"/>
    <w:rsid w:val="00F8293F"/>
    <w:rsid w:val="00F86226"/>
    <w:rsid w:val="00F962A1"/>
    <w:rsid w:val="00FA0273"/>
    <w:rsid w:val="00FB201F"/>
    <w:rsid w:val="00FC2871"/>
    <w:rsid w:val="00FE22FB"/>
    <w:rsid w:val="01280BB7"/>
    <w:rsid w:val="01323DA2"/>
    <w:rsid w:val="013B325F"/>
    <w:rsid w:val="01777F3D"/>
    <w:rsid w:val="027126D9"/>
    <w:rsid w:val="02A940FA"/>
    <w:rsid w:val="02AD5644"/>
    <w:rsid w:val="030C6819"/>
    <w:rsid w:val="030F6403"/>
    <w:rsid w:val="03427ECC"/>
    <w:rsid w:val="03FE1753"/>
    <w:rsid w:val="05584575"/>
    <w:rsid w:val="08597785"/>
    <w:rsid w:val="08952AB1"/>
    <w:rsid w:val="08DC47B1"/>
    <w:rsid w:val="08E31AFD"/>
    <w:rsid w:val="090D04EA"/>
    <w:rsid w:val="09AE79FF"/>
    <w:rsid w:val="0A2421D0"/>
    <w:rsid w:val="0A2E13C6"/>
    <w:rsid w:val="0BA47A94"/>
    <w:rsid w:val="0BFC3DAC"/>
    <w:rsid w:val="0CF11FC8"/>
    <w:rsid w:val="0D1F4E67"/>
    <w:rsid w:val="0DAB0955"/>
    <w:rsid w:val="0E2C7645"/>
    <w:rsid w:val="0E300623"/>
    <w:rsid w:val="108716B9"/>
    <w:rsid w:val="10A06833"/>
    <w:rsid w:val="11260033"/>
    <w:rsid w:val="11651641"/>
    <w:rsid w:val="12AF4DA7"/>
    <w:rsid w:val="13450D42"/>
    <w:rsid w:val="1399678B"/>
    <w:rsid w:val="13A35802"/>
    <w:rsid w:val="13F52878"/>
    <w:rsid w:val="1418212F"/>
    <w:rsid w:val="143C35E8"/>
    <w:rsid w:val="147A661F"/>
    <w:rsid w:val="159C4E32"/>
    <w:rsid w:val="15B51799"/>
    <w:rsid w:val="161B4871"/>
    <w:rsid w:val="165118C2"/>
    <w:rsid w:val="16A01F34"/>
    <w:rsid w:val="17A40A69"/>
    <w:rsid w:val="17C23D74"/>
    <w:rsid w:val="17CA5720"/>
    <w:rsid w:val="18442DEF"/>
    <w:rsid w:val="186D464D"/>
    <w:rsid w:val="19A37E53"/>
    <w:rsid w:val="19FA1EEC"/>
    <w:rsid w:val="1A35572B"/>
    <w:rsid w:val="1AE667A7"/>
    <w:rsid w:val="1BD12F1C"/>
    <w:rsid w:val="1BD148F9"/>
    <w:rsid w:val="1C183CFA"/>
    <w:rsid w:val="1C5D5722"/>
    <w:rsid w:val="1C7334F3"/>
    <w:rsid w:val="1C8F0739"/>
    <w:rsid w:val="1CF47940"/>
    <w:rsid w:val="1E0D6855"/>
    <w:rsid w:val="1E1E32AA"/>
    <w:rsid w:val="1E384A40"/>
    <w:rsid w:val="1E945731"/>
    <w:rsid w:val="1E9A3C5A"/>
    <w:rsid w:val="1F4947CD"/>
    <w:rsid w:val="1FB67ECD"/>
    <w:rsid w:val="205F2406"/>
    <w:rsid w:val="210B6D83"/>
    <w:rsid w:val="233523C3"/>
    <w:rsid w:val="23A143EA"/>
    <w:rsid w:val="24E17F7C"/>
    <w:rsid w:val="255B5120"/>
    <w:rsid w:val="256656B4"/>
    <w:rsid w:val="25843104"/>
    <w:rsid w:val="25C23B65"/>
    <w:rsid w:val="266163C4"/>
    <w:rsid w:val="26A5409A"/>
    <w:rsid w:val="27686B87"/>
    <w:rsid w:val="27D83E83"/>
    <w:rsid w:val="28272534"/>
    <w:rsid w:val="28BB3AB7"/>
    <w:rsid w:val="29811DB1"/>
    <w:rsid w:val="29B33B7B"/>
    <w:rsid w:val="29D40A2C"/>
    <w:rsid w:val="29FA3093"/>
    <w:rsid w:val="2AAE0782"/>
    <w:rsid w:val="2AE40EF7"/>
    <w:rsid w:val="2C226395"/>
    <w:rsid w:val="2C4A02E2"/>
    <w:rsid w:val="2C6E758E"/>
    <w:rsid w:val="2D2515ED"/>
    <w:rsid w:val="2D2F78EE"/>
    <w:rsid w:val="2E1607D1"/>
    <w:rsid w:val="2E5907D4"/>
    <w:rsid w:val="2E87339B"/>
    <w:rsid w:val="2EFD740E"/>
    <w:rsid w:val="2F062A6E"/>
    <w:rsid w:val="2FD1709A"/>
    <w:rsid w:val="3008775A"/>
    <w:rsid w:val="30B368B6"/>
    <w:rsid w:val="30CB7A6D"/>
    <w:rsid w:val="31807EB3"/>
    <w:rsid w:val="318C7DAB"/>
    <w:rsid w:val="31996E73"/>
    <w:rsid w:val="31AB5078"/>
    <w:rsid w:val="31B92474"/>
    <w:rsid w:val="31DB625D"/>
    <w:rsid w:val="32062F86"/>
    <w:rsid w:val="32344A7B"/>
    <w:rsid w:val="32843C53"/>
    <w:rsid w:val="332078FA"/>
    <w:rsid w:val="3383071D"/>
    <w:rsid w:val="34C60BA3"/>
    <w:rsid w:val="35793CEE"/>
    <w:rsid w:val="364C51BD"/>
    <w:rsid w:val="368514F5"/>
    <w:rsid w:val="379C2CEE"/>
    <w:rsid w:val="382C74A9"/>
    <w:rsid w:val="383A128B"/>
    <w:rsid w:val="38540C47"/>
    <w:rsid w:val="38A23A5D"/>
    <w:rsid w:val="3933109A"/>
    <w:rsid w:val="399D323A"/>
    <w:rsid w:val="3A3506DC"/>
    <w:rsid w:val="3A616090"/>
    <w:rsid w:val="3AB20FAC"/>
    <w:rsid w:val="3ACC422F"/>
    <w:rsid w:val="3B321E9B"/>
    <w:rsid w:val="3B4274BC"/>
    <w:rsid w:val="3B5D23A8"/>
    <w:rsid w:val="3B985ECC"/>
    <w:rsid w:val="3B9C4005"/>
    <w:rsid w:val="3CB5767C"/>
    <w:rsid w:val="3CDA6023"/>
    <w:rsid w:val="3D2D05FE"/>
    <w:rsid w:val="3DAC2241"/>
    <w:rsid w:val="3DB37C37"/>
    <w:rsid w:val="3DD53CC9"/>
    <w:rsid w:val="3E5523EF"/>
    <w:rsid w:val="3F1D2349"/>
    <w:rsid w:val="3F515858"/>
    <w:rsid w:val="40CA5245"/>
    <w:rsid w:val="43B269CE"/>
    <w:rsid w:val="44693570"/>
    <w:rsid w:val="44E92DDD"/>
    <w:rsid w:val="455B635E"/>
    <w:rsid w:val="459C60E4"/>
    <w:rsid w:val="45AE3E51"/>
    <w:rsid w:val="461216B9"/>
    <w:rsid w:val="46615B98"/>
    <w:rsid w:val="46CE7084"/>
    <w:rsid w:val="47292DAD"/>
    <w:rsid w:val="48392B0A"/>
    <w:rsid w:val="494A6577"/>
    <w:rsid w:val="494B11DB"/>
    <w:rsid w:val="499C7D86"/>
    <w:rsid w:val="49EC27FF"/>
    <w:rsid w:val="4AF57F4B"/>
    <w:rsid w:val="4B3405EC"/>
    <w:rsid w:val="4BAC42C5"/>
    <w:rsid w:val="4BD85281"/>
    <w:rsid w:val="4D0D6850"/>
    <w:rsid w:val="4D5C2139"/>
    <w:rsid w:val="4DF7195A"/>
    <w:rsid w:val="4E4A143A"/>
    <w:rsid w:val="4F107A0E"/>
    <w:rsid w:val="504D2F72"/>
    <w:rsid w:val="50EB6A1F"/>
    <w:rsid w:val="512A26AB"/>
    <w:rsid w:val="51EB780F"/>
    <w:rsid w:val="523C40AA"/>
    <w:rsid w:val="52EA295C"/>
    <w:rsid w:val="53760AA9"/>
    <w:rsid w:val="53B34850"/>
    <w:rsid w:val="54412AD4"/>
    <w:rsid w:val="54980DFE"/>
    <w:rsid w:val="54AD00F7"/>
    <w:rsid w:val="55707955"/>
    <w:rsid w:val="575313B3"/>
    <w:rsid w:val="576E0C05"/>
    <w:rsid w:val="579E594E"/>
    <w:rsid w:val="58036BE0"/>
    <w:rsid w:val="59083079"/>
    <w:rsid w:val="591B6DAE"/>
    <w:rsid w:val="5962638D"/>
    <w:rsid w:val="59DE1803"/>
    <w:rsid w:val="5A8013CC"/>
    <w:rsid w:val="5AD607C4"/>
    <w:rsid w:val="5B2E4369"/>
    <w:rsid w:val="5BF17E1D"/>
    <w:rsid w:val="5C767C76"/>
    <w:rsid w:val="5E04074D"/>
    <w:rsid w:val="5E0E5D23"/>
    <w:rsid w:val="5E9F12CF"/>
    <w:rsid w:val="5EF10F30"/>
    <w:rsid w:val="61A3793C"/>
    <w:rsid w:val="62994D3F"/>
    <w:rsid w:val="63035473"/>
    <w:rsid w:val="63525291"/>
    <w:rsid w:val="63AF536B"/>
    <w:rsid w:val="648D242D"/>
    <w:rsid w:val="653738E3"/>
    <w:rsid w:val="65561244"/>
    <w:rsid w:val="65C82A7E"/>
    <w:rsid w:val="66261D62"/>
    <w:rsid w:val="66B03FC5"/>
    <w:rsid w:val="66F7310F"/>
    <w:rsid w:val="678A2C01"/>
    <w:rsid w:val="68193780"/>
    <w:rsid w:val="681F1E63"/>
    <w:rsid w:val="68472CC4"/>
    <w:rsid w:val="688D3A35"/>
    <w:rsid w:val="69720528"/>
    <w:rsid w:val="69B865DE"/>
    <w:rsid w:val="6A1C64EF"/>
    <w:rsid w:val="6A457355"/>
    <w:rsid w:val="6A4F5DDA"/>
    <w:rsid w:val="6A5300EB"/>
    <w:rsid w:val="6A5D4693"/>
    <w:rsid w:val="6B1C1071"/>
    <w:rsid w:val="6C96476C"/>
    <w:rsid w:val="6D730B5F"/>
    <w:rsid w:val="6DE95EB0"/>
    <w:rsid w:val="6EFB32A8"/>
    <w:rsid w:val="6F7D5721"/>
    <w:rsid w:val="7057091F"/>
    <w:rsid w:val="7116194F"/>
    <w:rsid w:val="713B0E50"/>
    <w:rsid w:val="7194460E"/>
    <w:rsid w:val="723548CC"/>
    <w:rsid w:val="72664F90"/>
    <w:rsid w:val="7386168E"/>
    <w:rsid w:val="73B901E7"/>
    <w:rsid w:val="73BE3BD3"/>
    <w:rsid w:val="74D2407C"/>
    <w:rsid w:val="754A236B"/>
    <w:rsid w:val="762F6B4B"/>
    <w:rsid w:val="76AE1AA2"/>
    <w:rsid w:val="76EF02B6"/>
    <w:rsid w:val="781B28E2"/>
    <w:rsid w:val="79770680"/>
    <w:rsid w:val="7A194031"/>
    <w:rsid w:val="7ABB0491"/>
    <w:rsid w:val="7AF95C80"/>
    <w:rsid w:val="7B150232"/>
    <w:rsid w:val="7B872B9C"/>
    <w:rsid w:val="7BA33598"/>
    <w:rsid w:val="7CFE44EF"/>
    <w:rsid w:val="7D322943"/>
    <w:rsid w:val="7D3B75FF"/>
    <w:rsid w:val="7D743307"/>
    <w:rsid w:val="7DCD07C1"/>
    <w:rsid w:val="7E120769"/>
    <w:rsid w:val="7EF41FDD"/>
    <w:rsid w:val="7F300003"/>
    <w:rsid w:val="7F347C06"/>
    <w:rsid w:val="7FAF48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39"/>
    <w:pPr>
      <w:widowControl/>
      <w:autoSpaceDE/>
      <w:autoSpaceDN/>
      <w:adjustRightInd/>
      <w:spacing w:after="100" w:line="259" w:lineRule="auto"/>
    </w:pPr>
    <w:rPr>
      <w:rFonts w:ascii="等线" w:hAnsi="等线" w:eastAsia="等线"/>
      <w:sz w:val="22"/>
      <w:szCs w:val="22"/>
    </w:rPr>
  </w:style>
  <w:style w:type="paragraph" w:styleId="4">
    <w:name w:val="annotation text"/>
    <w:basedOn w:val="1"/>
    <w:semiHidden/>
    <w:qFormat/>
    <w:uiPriority w:val="0"/>
    <w:pPr>
      <w:jc w:val="left"/>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annotation subject"/>
    <w:basedOn w:val="4"/>
    <w:next w:val="4"/>
    <w:semiHidden/>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0"/>
    <w:rPr>
      <w:b/>
    </w:rPr>
  </w:style>
  <w:style w:type="character" w:styleId="14">
    <w:name w:val="page number"/>
    <w:basedOn w:val="12"/>
    <w:qFormat/>
    <w:uiPriority w:val="0"/>
  </w:style>
  <w:style w:type="character" w:styleId="15">
    <w:name w:val="annotation reference"/>
    <w:basedOn w:val="12"/>
    <w:semiHidden/>
    <w:qFormat/>
    <w:uiPriority w:val="0"/>
    <w:rPr>
      <w:sz w:val="21"/>
      <w:szCs w:val="21"/>
    </w:rPr>
  </w:style>
  <w:style w:type="character" w:customStyle="1" w:styleId="16">
    <w:name w:val="style11"/>
    <w:basedOn w:val="12"/>
    <w:qFormat/>
    <w:uiPriority w:val="0"/>
    <w:rPr>
      <w:b/>
      <w:bCs/>
      <w:color w:val="D54F2B"/>
      <w:sz w:val="19"/>
      <w:szCs w:val="19"/>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4</Pages>
  <Words>2539</Words>
  <Characters>2996</Characters>
  <Lines>20</Lines>
  <Paragraphs>5</Paragraphs>
  <TotalTime>36</TotalTime>
  <ScaleCrop>false</ScaleCrop>
  <LinksUpToDate>false</LinksUpToDate>
  <CharactersWithSpaces>3015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2009-12-15T06:37:00Z</dcterms:created>
  <dc:creator>smw</dc:creator>
  <cp:lastModifiedBy>余生</cp:lastModifiedBy>
  <cp:lastPrinted>2020-07-22T01:49:00Z</cp:lastPrinted>
  <dcterms:modified xsi:type="dcterms:W3CDTF">2026-04-29T00:33:18Z</dcterms:modified>
  <dc:title>桐庐县城浮桥埠区块桥北路（二标）北侧山体边坡整治工程</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00F467659771491D9DD361D5CE25D7B9</vt:lpwstr>
  </property>
  <property fmtid="{D5CDD505-2E9C-101B-9397-08002B2CF9AE}" pid="4" name="KSOTemplateDocerSaveRecord">
    <vt:lpwstr>eyJoZGlkIjoiNDE3NTFiMzhhMTcyNTFhOWQxNjMzMmIzYTQ3ZjQwZGEiLCJ1c2VySWQiOiI0MjEzMTA0NjQifQ==</vt:lpwstr>
  </property>
</Properties>
</file>