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420" w:hanging="420"/>
        <w:jc w:val="center"/>
        <w:rPr>
          <w:rFonts w:hint="eastAsia" w:ascii="宋体" w:hAnsi="宋体"/>
          <w:b/>
          <w:sz w:val="32"/>
          <w:lang w:val="en-US" w:eastAsia="zh-CN"/>
        </w:rPr>
      </w:pPr>
      <w:r>
        <w:rPr>
          <w:rFonts w:hint="eastAsia" w:ascii="宋体" w:hAnsi="宋体"/>
          <w:b/>
          <w:sz w:val="32"/>
        </w:rPr>
        <w:object>
          <v:shape id="_x0000_i1025" o:spt="75" type="#_x0000_t75" style="height:30.75pt;width:42pt;" o:ole="t" filled="f" o:preferrelative="t" stroked="f" coordsize="21600,21600">
            <v:path/>
            <v:fill on="f" focussize="0,0"/>
            <v:stroke on="f"/>
            <v:imagedata r:id="rId5" o:title=""/>
            <o:lock v:ext="edit" aspectratio="t"/>
            <w10:wrap type="none"/>
            <w10:anchorlock/>
          </v:shape>
          <o:OLEObject Type="Embed" ProgID="Excel.Sheet.12" ShapeID="_x0000_i1025" DrawAspect="Content" ObjectID="_1468075725" r:id="rId4">
            <o:LockedField>false</o:LockedField>
          </o:OLEObject>
        </w:object>
      </w:r>
      <w:r>
        <w:rPr>
          <w:rFonts w:hint="eastAsia" w:ascii="宋体" w:hAnsi="宋体"/>
          <w:b/>
          <w:sz w:val="32"/>
        </w:rPr>
        <w:t>新合乡新四村文旅共富产业提质项目(新合乡新四村富美100配套设施建设项目）</w:t>
      </w:r>
      <w:r>
        <w:rPr>
          <w:rFonts w:hint="eastAsia" w:ascii="宋体" w:hAnsi="宋体"/>
          <w:b/>
          <w:sz w:val="32"/>
          <w:lang w:val="en-US" w:eastAsia="zh-CN"/>
        </w:rPr>
        <w:t>编制说明</w:t>
      </w:r>
    </w:p>
    <w:p>
      <w:pPr>
        <w:spacing w:line="360" w:lineRule="auto"/>
        <w:ind w:left="420" w:hanging="420"/>
        <w:rPr>
          <w:rFonts w:ascii="宋体" w:hAnsi="宋体"/>
          <w:b/>
          <w:color w:val="FF0000"/>
          <w:sz w:val="24"/>
        </w:rPr>
      </w:pPr>
      <w:r>
        <w:rPr>
          <w:rFonts w:hint="eastAsia" w:ascii="宋体" w:hAnsi="宋体"/>
        </w:rPr>
        <w:t>一.</w:t>
      </w:r>
      <w:r>
        <w:rPr>
          <w:rFonts w:hint="eastAsia" w:ascii="宋体" w:hAnsi="宋体"/>
        </w:rPr>
        <w:tab/>
      </w:r>
      <w:r>
        <w:rPr>
          <w:rFonts w:hint="eastAsia" w:ascii="宋体" w:hAnsi="宋体"/>
          <w:b/>
          <w:color w:val="FF0000"/>
          <w:sz w:val="24"/>
        </w:rPr>
        <w:t>工程概况</w:t>
      </w:r>
    </w:p>
    <w:p>
      <w:pPr>
        <w:spacing w:line="360" w:lineRule="auto"/>
        <w:ind w:left="1140" w:hanging="420"/>
        <w:rPr>
          <w:rFonts w:hint="eastAsia" w:ascii="新宋体" w:hAnsi="新宋体" w:eastAsia="新宋体"/>
          <w:szCs w:val="22"/>
          <w:lang w:val="en-US" w:eastAsia="zh-CN"/>
        </w:rPr>
      </w:pPr>
      <w:r>
        <w:rPr>
          <w:rFonts w:hint="eastAsia" w:ascii="新宋体" w:hAnsi="新宋体" w:eastAsia="新宋体"/>
        </w:rPr>
        <w:t>1.</w:t>
      </w:r>
      <w:r>
        <w:rPr>
          <w:rFonts w:hint="eastAsia" w:ascii="新宋体" w:hAnsi="新宋体" w:eastAsia="新宋体"/>
        </w:rPr>
        <w:tab/>
      </w:r>
      <w:r>
        <w:rPr>
          <w:rFonts w:hint="eastAsia" w:ascii="宋体" w:hAnsi="宋体"/>
          <w:b/>
          <w:sz w:val="24"/>
        </w:rPr>
        <w:t>工程地址：</w:t>
      </w:r>
      <w:r>
        <w:rPr>
          <w:rFonts w:hint="eastAsia" w:ascii="新宋体" w:hAnsi="新宋体" w:eastAsia="新宋体"/>
          <w:szCs w:val="22"/>
        </w:rPr>
        <w:t>桐庐县</w:t>
      </w:r>
      <w:r>
        <w:rPr>
          <w:rFonts w:hint="eastAsia" w:ascii="新宋体" w:hAnsi="新宋体" w:eastAsia="新宋体"/>
          <w:szCs w:val="22"/>
          <w:lang w:val="en-US" w:eastAsia="zh-CN"/>
        </w:rPr>
        <w:t>新四村</w:t>
      </w:r>
    </w:p>
    <w:p>
      <w:pPr>
        <w:spacing w:line="360" w:lineRule="auto"/>
        <w:ind w:left="1140" w:hanging="420"/>
        <w:rPr>
          <w:rFonts w:hint="eastAsia" w:ascii="宋体" w:hAnsi="宋体" w:cs="宋体"/>
          <w:sz w:val="22"/>
          <w:szCs w:val="22"/>
          <w:highlight w:val="none"/>
          <w:lang w:val="en-US" w:eastAsia="zh-CN"/>
        </w:rPr>
      </w:pPr>
      <w:r>
        <w:rPr>
          <w:rFonts w:hint="eastAsia" w:ascii="宋体" w:hAnsi="宋体"/>
          <w:bCs/>
          <w:sz w:val="24"/>
          <w:szCs w:val="22"/>
        </w:rPr>
        <w:t xml:space="preserve">2.  </w:t>
      </w:r>
      <w:r>
        <w:rPr>
          <w:rFonts w:hint="eastAsia" w:ascii="宋体" w:hAnsi="宋体"/>
          <w:b/>
          <w:sz w:val="24"/>
          <w:szCs w:val="22"/>
        </w:rPr>
        <w:t>工程特征：</w:t>
      </w:r>
      <w:r>
        <w:rPr>
          <w:rFonts w:hint="eastAsia" w:ascii="宋体" w:hAnsi="宋体" w:cs="宋体"/>
          <w:sz w:val="22"/>
          <w:szCs w:val="22"/>
          <w:highlight w:val="none"/>
        </w:rPr>
        <w:t>本工程为新合乡新四村文旅共富产业提质项目(新合乡新四村富美100配套设施建设项目），主要内容为</w:t>
      </w:r>
      <w:r>
        <w:rPr>
          <w:rFonts w:hint="eastAsia" w:ascii="宋体" w:hAnsi="宋体" w:cs="宋体"/>
          <w:sz w:val="22"/>
          <w:szCs w:val="22"/>
          <w:highlight w:val="none"/>
          <w:lang w:val="en-US" w:eastAsia="zh-CN"/>
        </w:rPr>
        <w:t>室外景观改建、礼堂修缮等项目</w:t>
      </w:r>
    </w:p>
    <w:p>
      <w:pPr>
        <w:spacing w:line="360" w:lineRule="auto"/>
        <w:ind w:left="1140" w:hanging="420"/>
        <w:rPr>
          <w:rFonts w:ascii="宋体" w:hAnsi="宋体"/>
          <w:sz w:val="24"/>
        </w:rPr>
      </w:pPr>
      <w:r>
        <w:rPr>
          <w:rFonts w:hint="eastAsia" w:ascii="新宋体" w:hAnsi="新宋体" w:eastAsia="新宋体"/>
        </w:rPr>
        <w:t>3.</w:t>
      </w:r>
      <w:r>
        <w:rPr>
          <w:rFonts w:hint="eastAsia" w:ascii="新宋体" w:hAnsi="新宋体" w:eastAsia="新宋体"/>
        </w:rPr>
        <w:tab/>
      </w:r>
      <w:r>
        <w:rPr>
          <w:rFonts w:hint="eastAsia" w:ascii="宋体" w:hAnsi="宋体"/>
          <w:b/>
          <w:sz w:val="24"/>
        </w:rPr>
        <w:t>计划工期：</w:t>
      </w:r>
      <w:r>
        <w:rPr>
          <w:rFonts w:hint="eastAsia" w:ascii="宋体" w:hAnsi="宋体"/>
        </w:rPr>
        <w:t>详见招标文件；</w:t>
      </w:r>
    </w:p>
    <w:p>
      <w:pPr>
        <w:spacing w:line="360" w:lineRule="auto"/>
        <w:ind w:left="1140" w:hanging="420"/>
        <w:rPr>
          <w:rFonts w:ascii="宋体" w:hAnsi="宋体"/>
          <w:sz w:val="24"/>
        </w:rPr>
      </w:pPr>
      <w:r>
        <w:rPr>
          <w:rFonts w:hint="eastAsia" w:ascii="新宋体" w:hAnsi="新宋体" w:eastAsia="新宋体"/>
        </w:rPr>
        <w:t>4.</w:t>
      </w:r>
      <w:r>
        <w:rPr>
          <w:rFonts w:hint="eastAsia" w:ascii="新宋体" w:hAnsi="新宋体" w:eastAsia="新宋体"/>
        </w:rPr>
        <w:tab/>
      </w:r>
      <w:r>
        <w:rPr>
          <w:rFonts w:hint="eastAsia" w:ascii="宋体" w:hAnsi="宋体"/>
          <w:b/>
          <w:sz w:val="24"/>
        </w:rPr>
        <w:t>施工现场情况：</w:t>
      </w:r>
      <w:r>
        <w:rPr>
          <w:rFonts w:hint="eastAsia" w:ascii="宋体" w:hAnsi="宋体"/>
        </w:rPr>
        <w:t>已完成三通一平；</w:t>
      </w:r>
    </w:p>
    <w:p>
      <w:pPr>
        <w:spacing w:line="360" w:lineRule="auto"/>
        <w:ind w:left="1140" w:hanging="420"/>
        <w:rPr>
          <w:rFonts w:ascii="宋体" w:hAnsi="宋体"/>
          <w:sz w:val="24"/>
        </w:rPr>
      </w:pPr>
      <w:r>
        <w:rPr>
          <w:rFonts w:hint="eastAsia" w:ascii="新宋体" w:hAnsi="新宋体" w:eastAsia="新宋体"/>
        </w:rPr>
        <w:t>5.</w:t>
      </w:r>
      <w:r>
        <w:rPr>
          <w:rFonts w:hint="eastAsia" w:ascii="新宋体" w:hAnsi="新宋体" w:eastAsia="新宋体"/>
        </w:rPr>
        <w:tab/>
      </w:r>
      <w:r>
        <w:rPr>
          <w:rFonts w:hint="eastAsia" w:ascii="宋体" w:hAnsi="宋体"/>
          <w:b/>
          <w:sz w:val="24"/>
        </w:rPr>
        <w:t>自然地理条件：</w:t>
      </w:r>
      <w:r>
        <w:rPr>
          <w:rFonts w:hint="eastAsia" w:ascii="宋体" w:hAnsi="宋体"/>
        </w:rPr>
        <w:t>施工区域内降水、温度等正常，地势较为平坦，施工区域内无名贵、古树木等；</w:t>
      </w:r>
    </w:p>
    <w:p>
      <w:pPr>
        <w:spacing w:line="360" w:lineRule="auto"/>
        <w:ind w:left="1140" w:hanging="420"/>
        <w:rPr>
          <w:rFonts w:ascii="宋体" w:hAnsi="宋体"/>
          <w:sz w:val="24"/>
        </w:rPr>
      </w:pPr>
      <w:r>
        <w:rPr>
          <w:rFonts w:hint="eastAsia" w:ascii="新宋体" w:hAnsi="新宋体" w:eastAsia="新宋体"/>
        </w:rPr>
        <w:t>6.</w:t>
      </w:r>
      <w:r>
        <w:rPr>
          <w:rFonts w:hint="eastAsia" w:ascii="新宋体" w:hAnsi="新宋体" w:eastAsia="新宋体"/>
        </w:rPr>
        <w:tab/>
      </w:r>
      <w:r>
        <w:rPr>
          <w:rFonts w:hint="eastAsia" w:ascii="宋体" w:hAnsi="宋体"/>
          <w:b/>
          <w:sz w:val="24"/>
        </w:rPr>
        <w:t>环境保护要求：</w:t>
      </w:r>
      <w:r>
        <w:rPr>
          <w:rFonts w:hint="eastAsia" w:ascii="宋体" w:hAnsi="宋体"/>
        </w:rPr>
        <w:t>符合国家、省、市及工程所在地有关绿色施工，环境保护等要求。</w:t>
      </w:r>
    </w:p>
    <w:p>
      <w:pPr>
        <w:spacing w:line="360" w:lineRule="auto"/>
        <w:ind w:left="420" w:hanging="420"/>
        <w:rPr>
          <w:rFonts w:ascii="宋体" w:hAnsi="宋体"/>
          <w:b/>
          <w:color w:val="FF0000"/>
          <w:sz w:val="24"/>
        </w:rPr>
      </w:pPr>
      <w:r>
        <w:rPr>
          <w:rFonts w:hint="eastAsia" w:ascii="宋体" w:hAnsi="宋体"/>
        </w:rPr>
        <w:t>二.</w:t>
      </w:r>
      <w:r>
        <w:rPr>
          <w:rFonts w:hint="eastAsia" w:ascii="宋体" w:hAnsi="宋体"/>
        </w:rPr>
        <w:tab/>
      </w:r>
      <w:r>
        <w:rPr>
          <w:rFonts w:hint="eastAsia" w:ascii="宋体" w:hAnsi="宋体"/>
          <w:b/>
          <w:color w:val="FF0000"/>
          <w:sz w:val="24"/>
        </w:rPr>
        <w:t>工程招标及分包范围：</w:t>
      </w:r>
    </w:p>
    <w:p>
      <w:pPr>
        <w:spacing w:line="360" w:lineRule="auto"/>
        <w:ind w:left="420"/>
        <w:rPr>
          <w:rFonts w:ascii="宋体" w:hAnsi="宋体"/>
        </w:rPr>
      </w:pPr>
      <w:r>
        <w:rPr>
          <w:rFonts w:hint="eastAsia" w:ascii="宋体" w:hAnsi="宋体"/>
        </w:rPr>
        <w:t>（一）.招标范围：</w:t>
      </w:r>
    </w:p>
    <w:p>
      <w:pPr>
        <w:spacing w:line="360" w:lineRule="auto"/>
        <w:ind w:left="420"/>
        <w:rPr>
          <w:rFonts w:ascii="宋体" w:hAnsi="宋体"/>
        </w:rPr>
      </w:pPr>
      <w:r>
        <w:rPr>
          <w:rFonts w:hint="eastAsia" w:ascii="宋体" w:hAnsi="宋体"/>
        </w:rPr>
        <w:t xml:space="preserve">   1.施工图范围内所有工程量（除本编制说明中注明的除外）;</w:t>
      </w:r>
    </w:p>
    <w:p>
      <w:pPr>
        <w:spacing w:line="360" w:lineRule="auto"/>
        <w:ind w:left="420"/>
        <w:rPr>
          <w:rFonts w:ascii="宋体" w:hAnsi="宋体"/>
        </w:rPr>
      </w:pPr>
      <w:r>
        <w:rPr>
          <w:rFonts w:hint="eastAsia" w:ascii="宋体" w:hAnsi="宋体"/>
        </w:rPr>
        <w:t>（二）.分包范围：</w:t>
      </w:r>
    </w:p>
    <w:p>
      <w:pPr>
        <w:spacing w:line="360" w:lineRule="auto"/>
        <w:ind w:left="420"/>
        <w:rPr>
          <w:rFonts w:ascii="宋体" w:hAnsi="宋体"/>
        </w:rPr>
      </w:pPr>
      <w:r>
        <w:rPr>
          <w:rFonts w:hint="eastAsia" w:ascii="宋体" w:hAnsi="宋体"/>
        </w:rPr>
        <w:t xml:space="preserve">   1.无分包内容。</w:t>
      </w:r>
    </w:p>
    <w:p>
      <w:pPr>
        <w:spacing w:line="360" w:lineRule="auto"/>
        <w:ind w:left="420" w:hanging="420"/>
        <w:rPr>
          <w:rFonts w:ascii="宋体" w:hAnsi="宋体"/>
          <w:b/>
          <w:color w:val="FF0000"/>
          <w:sz w:val="24"/>
        </w:rPr>
      </w:pPr>
      <w:r>
        <w:rPr>
          <w:rFonts w:hint="eastAsia" w:ascii="宋体" w:hAnsi="宋体"/>
        </w:rPr>
        <w:t>三.</w:t>
      </w:r>
      <w:r>
        <w:rPr>
          <w:rFonts w:hint="eastAsia" w:ascii="宋体" w:hAnsi="宋体"/>
        </w:rPr>
        <w:tab/>
      </w:r>
      <w:r>
        <w:rPr>
          <w:rFonts w:hint="eastAsia" w:ascii="宋体" w:hAnsi="宋体"/>
          <w:b/>
          <w:color w:val="FF0000"/>
          <w:sz w:val="24"/>
          <w:lang w:val="en-US" w:eastAsia="zh-CN"/>
        </w:rPr>
        <w:t>控制价</w:t>
      </w:r>
      <w:r>
        <w:rPr>
          <w:rFonts w:hint="eastAsia" w:ascii="宋体" w:hAnsi="宋体"/>
          <w:b/>
          <w:color w:val="FF0000"/>
          <w:sz w:val="24"/>
        </w:rPr>
        <w:t>编制依据：</w:t>
      </w:r>
    </w:p>
    <w:p>
      <w:pPr>
        <w:spacing w:line="360" w:lineRule="auto"/>
        <w:ind w:left="420" w:leftChars="200" w:firstLine="210" w:firstLineChars="100"/>
        <w:rPr>
          <w:rFonts w:ascii="宋体" w:hAnsi="宋体"/>
        </w:rPr>
      </w:pPr>
      <w:r>
        <w:rPr>
          <w:rFonts w:hint="eastAsia" w:ascii="新宋体" w:hAnsi="新宋体" w:eastAsia="新宋体"/>
        </w:rPr>
        <w:t>1.</w:t>
      </w:r>
      <w:r>
        <w:rPr>
          <w:rFonts w:hint="eastAsia" w:ascii="新宋体" w:hAnsi="新宋体" w:eastAsia="新宋体"/>
        </w:rPr>
        <w:tab/>
      </w:r>
      <w:r>
        <w:rPr>
          <w:rFonts w:hint="eastAsia" w:ascii="宋体" w:hAnsi="宋体"/>
        </w:rPr>
        <w:t>《建设工程工程量清单计价规范（GB50500－2013）》；</w:t>
      </w:r>
    </w:p>
    <w:p>
      <w:pPr>
        <w:spacing w:line="360" w:lineRule="auto"/>
        <w:ind w:left="420" w:leftChars="200" w:firstLine="210" w:firstLineChars="100"/>
        <w:rPr>
          <w:rFonts w:ascii="宋体" w:hAnsi="宋体"/>
        </w:rPr>
      </w:pPr>
      <w:r>
        <w:rPr>
          <w:rFonts w:hint="eastAsia" w:ascii="新宋体" w:hAnsi="新宋体" w:eastAsia="新宋体"/>
        </w:rPr>
        <w:t>2.</w:t>
      </w:r>
      <w:r>
        <w:rPr>
          <w:rFonts w:hint="eastAsia" w:ascii="新宋体" w:hAnsi="新宋体" w:eastAsia="新宋体"/>
        </w:rPr>
        <w:tab/>
      </w:r>
      <w:r>
        <w:rPr>
          <w:rFonts w:hint="eastAsia" w:ascii="宋体" w:hAnsi="宋体"/>
        </w:rPr>
        <w:t>《建设工程工程量计算规范（2013）浙江省补充规定》（浙建站计（2013）63号文件）；</w:t>
      </w:r>
    </w:p>
    <w:p>
      <w:pPr>
        <w:spacing w:line="360" w:lineRule="auto"/>
        <w:ind w:left="420" w:leftChars="200" w:firstLine="210" w:firstLineChars="100"/>
        <w:rPr>
          <w:rFonts w:ascii="宋体" w:hAnsi="宋体"/>
        </w:rPr>
      </w:pPr>
      <w:r>
        <w:rPr>
          <w:rFonts w:hint="eastAsia" w:ascii="新宋体" w:hAnsi="新宋体" w:eastAsia="新宋体"/>
        </w:rPr>
        <w:t>3.</w:t>
      </w:r>
      <w:r>
        <w:rPr>
          <w:rFonts w:hint="eastAsia" w:ascii="新宋体" w:hAnsi="新宋体" w:eastAsia="新宋体"/>
        </w:rPr>
        <w:tab/>
      </w:r>
      <w:r>
        <w:rPr>
          <w:rFonts w:hint="eastAsia" w:ascii="宋体" w:hAnsi="宋体"/>
        </w:rPr>
        <w:t>《建设工程工程量计算规范（2013）浙江省补充规定（二）》（浙建站计（2014）31号文件）；</w:t>
      </w:r>
    </w:p>
    <w:p>
      <w:pPr>
        <w:spacing w:line="360" w:lineRule="auto"/>
        <w:ind w:left="420" w:leftChars="200" w:firstLine="210" w:firstLineChars="100"/>
        <w:rPr>
          <w:rFonts w:ascii="宋体" w:hAnsi="宋体"/>
        </w:rPr>
      </w:pPr>
      <w:r>
        <w:rPr>
          <w:rFonts w:hint="eastAsia" w:ascii="新宋体" w:hAnsi="新宋体" w:eastAsia="新宋体"/>
        </w:rPr>
        <w:t>4.</w:t>
      </w:r>
      <w:r>
        <w:rPr>
          <w:rFonts w:hint="eastAsia" w:ascii="新宋体" w:hAnsi="新宋体" w:eastAsia="新宋体"/>
        </w:rPr>
        <w:tab/>
      </w:r>
      <w:r>
        <w:rPr>
          <w:rFonts w:hint="eastAsia" w:ascii="宋体" w:hAnsi="宋体"/>
        </w:rPr>
        <w:t>《关于印发&lt;杭州市建设工程工程量清单计价实施细则（2018修订）&gt;的通知》，（杭建市发 [2018]578号）；</w:t>
      </w:r>
    </w:p>
    <w:p>
      <w:pPr>
        <w:spacing w:line="360" w:lineRule="auto"/>
        <w:ind w:left="420" w:leftChars="200" w:firstLine="210" w:firstLineChars="100"/>
        <w:rPr>
          <w:rFonts w:ascii="Times New Roman" w:hAnsi="Times New Roman" w:eastAsia="Times New Roman"/>
        </w:rPr>
      </w:pPr>
      <w:r>
        <w:rPr>
          <w:rFonts w:hint="eastAsia" w:ascii="新宋体" w:hAnsi="新宋体" w:eastAsia="新宋体"/>
        </w:rPr>
        <w:t>5.</w:t>
      </w:r>
      <w:r>
        <w:rPr>
          <w:rFonts w:hint="eastAsia" w:ascii="新宋体" w:hAnsi="新宋体" w:eastAsia="新宋体"/>
        </w:rPr>
        <w:tab/>
      </w:r>
      <w:r>
        <w:rPr>
          <w:rFonts w:hint="eastAsia" w:ascii="宋体" w:hAnsi="宋体"/>
        </w:rPr>
        <w:t>《浙江省建设工程计价规则2018版》、</w:t>
      </w:r>
      <w:r>
        <w:rPr>
          <w:rFonts w:hint="eastAsia" w:ascii="宋体" w:hAnsi="宋体"/>
          <w:color w:val="000000"/>
        </w:rPr>
        <w:t>《浙江省市政工程预算定额2018版》、《浙江省园林绿化及仿古建筑工程预算定额2018版》、《浙江省房屋建筑与装饰工程预算定额2018版》、《浙江省通用安装工程预算定额2018版》、《浙江省建设工程施工机械台班费用定额2018版》、《浙江省建筑安装材料基期价格2018版》、《浙江省城市轨道交通工程预算定额2018版》；</w:t>
      </w:r>
    </w:p>
    <w:p>
      <w:pPr>
        <w:keepNext/>
        <w:keepLines/>
        <w:spacing w:line="360" w:lineRule="auto"/>
        <w:ind w:left="1140" w:hanging="420"/>
        <w:rPr>
          <w:rFonts w:ascii="宋体" w:hAnsi="宋体"/>
        </w:rPr>
      </w:pPr>
      <w:r>
        <w:rPr>
          <w:rFonts w:hint="eastAsia" w:ascii="新宋体" w:hAnsi="新宋体" w:eastAsia="新宋体"/>
        </w:rPr>
        <w:t>6.</w:t>
      </w:r>
      <w:r>
        <w:rPr>
          <w:rFonts w:hint="eastAsia" w:ascii="新宋体" w:hAnsi="新宋体" w:eastAsia="新宋体"/>
        </w:rPr>
        <w:tab/>
      </w:r>
      <w:r>
        <w:rPr>
          <w:rFonts w:hint="eastAsia" w:ascii="宋体" w:hAnsi="宋体"/>
        </w:rPr>
        <w:t>《关于增值税调整后我省建设工程计价依据增值税税率及有关计价调整的通知》（浙建建发【2019】92 号）</w:t>
      </w:r>
    </w:p>
    <w:p>
      <w:pPr>
        <w:keepNext/>
        <w:keepLines/>
        <w:spacing w:line="360" w:lineRule="auto"/>
        <w:ind w:left="1140" w:hanging="420"/>
        <w:rPr>
          <w:rFonts w:ascii="宋体" w:hAnsi="宋体"/>
        </w:rPr>
      </w:pPr>
      <w:r>
        <w:rPr>
          <w:rFonts w:hint="eastAsia" w:ascii="新宋体" w:hAnsi="新宋体" w:eastAsia="新宋体"/>
        </w:rPr>
        <w:t>7.</w:t>
      </w:r>
      <w:r>
        <w:rPr>
          <w:rFonts w:hint="eastAsia" w:ascii="新宋体" w:hAnsi="新宋体" w:eastAsia="新宋体"/>
        </w:rPr>
        <w:tab/>
      </w:r>
      <w:r>
        <w:rPr>
          <w:rFonts w:hint="eastAsia" w:ascii="宋体" w:hAnsi="宋体"/>
        </w:rPr>
        <w:t>建设工程设计文件：施工图</w:t>
      </w:r>
    </w:p>
    <w:p>
      <w:pPr>
        <w:keepNext/>
        <w:keepLines/>
        <w:spacing w:line="360" w:lineRule="auto"/>
        <w:ind w:left="1140" w:hanging="420"/>
        <w:rPr>
          <w:rFonts w:ascii="宋体" w:hAnsi="宋体"/>
        </w:rPr>
      </w:pPr>
      <w:r>
        <w:rPr>
          <w:rFonts w:hint="eastAsia" w:ascii="新宋体" w:hAnsi="新宋体" w:eastAsia="新宋体"/>
        </w:rPr>
        <w:t>8.</w:t>
      </w:r>
      <w:r>
        <w:rPr>
          <w:rFonts w:hint="eastAsia" w:ascii="新宋体" w:hAnsi="新宋体" w:eastAsia="新宋体"/>
        </w:rPr>
        <w:tab/>
      </w:r>
      <w:r>
        <w:rPr>
          <w:rFonts w:hint="eastAsia" w:ascii="宋体" w:hAnsi="宋体"/>
        </w:rPr>
        <w:t>与建设工程项目有关的标准、规范、技术资料；</w:t>
      </w:r>
    </w:p>
    <w:p>
      <w:pPr>
        <w:keepNext/>
        <w:keepLines/>
        <w:spacing w:line="360" w:lineRule="auto"/>
        <w:ind w:left="1140" w:hanging="420"/>
        <w:rPr>
          <w:rFonts w:ascii="Times New Roman" w:hAnsi="Times New Roman" w:eastAsia="Times New Roman"/>
        </w:rPr>
      </w:pPr>
      <w:r>
        <w:rPr>
          <w:rFonts w:hint="eastAsia" w:ascii="新宋体" w:hAnsi="新宋体" w:eastAsia="新宋体"/>
        </w:rPr>
        <w:t>9.</w:t>
      </w:r>
      <w:r>
        <w:rPr>
          <w:rFonts w:hint="eastAsia" w:ascii="新宋体" w:hAnsi="新宋体" w:eastAsia="新宋体"/>
        </w:rPr>
        <w:tab/>
      </w:r>
      <w:r>
        <w:rPr>
          <w:rFonts w:hint="eastAsia" w:ascii="宋体" w:hAnsi="宋体"/>
        </w:rPr>
        <w:t>拟定的招标文件；</w:t>
      </w:r>
    </w:p>
    <w:p>
      <w:pPr>
        <w:keepNext/>
        <w:keepLines/>
        <w:spacing w:line="360" w:lineRule="auto"/>
        <w:ind w:left="1140" w:hanging="420"/>
        <w:rPr>
          <w:rFonts w:ascii="宋体" w:hAnsi="宋体"/>
        </w:rPr>
      </w:pPr>
      <w:r>
        <w:rPr>
          <w:rFonts w:hint="eastAsia" w:ascii="新宋体" w:hAnsi="新宋体" w:eastAsia="新宋体"/>
        </w:rPr>
        <w:t>10.</w:t>
      </w:r>
      <w:r>
        <w:rPr>
          <w:rFonts w:hint="eastAsia" w:ascii="新宋体" w:hAnsi="新宋体" w:eastAsia="新宋体"/>
        </w:rPr>
        <w:tab/>
      </w:r>
      <w:r>
        <w:rPr>
          <w:rFonts w:hint="eastAsia" w:ascii="宋体" w:hAnsi="宋体"/>
        </w:rPr>
        <w:t>常规的施工组织设计或施工方案；</w:t>
      </w:r>
    </w:p>
    <w:p>
      <w:pPr>
        <w:keepNext/>
        <w:keepLines/>
        <w:spacing w:line="360" w:lineRule="auto"/>
        <w:ind w:left="1140" w:hanging="420"/>
        <w:rPr>
          <w:rFonts w:ascii="Times New Roman" w:hAnsi="Times New Roman" w:eastAsia="Times New Roman"/>
        </w:rPr>
      </w:pPr>
      <w:r>
        <w:rPr>
          <w:rFonts w:hint="eastAsia" w:ascii="新宋体" w:hAnsi="新宋体" w:eastAsia="新宋体"/>
        </w:rPr>
        <w:t>11.</w:t>
      </w:r>
      <w:r>
        <w:rPr>
          <w:rFonts w:hint="eastAsia" w:ascii="新宋体" w:hAnsi="新宋体" w:eastAsia="新宋体"/>
        </w:rPr>
        <w:tab/>
      </w:r>
      <w:r>
        <w:rPr>
          <w:rFonts w:hint="eastAsia" w:ascii="宋体" w:hAnsi="宋体"/>
        </w:rPr>
        <w:t>信息价采用《杭州造价信息价（202</w:t>
      </w:r>
      <w:r>
        <w:rPr>
          <w:rFonts w:hint="eastAsia" w:ascii="宋体" w:hAnsi="宋体"/>
          <w:lang w:val="en-US" w:eastAsia="zh-CN"/>
        </w:rPr>
        <w:t>6.05</w:t>
      </w:r>
      <w:r>
        <w:rPr>
          <w:rFonts w:hint="eastAsia" w:ascii="宋体" w:hAnsi="宋体"/>
        </w:rPr>
        <w:t>）》桐庐地区信息价，桐庐地区无信息价的参照杭州地区信息价；《杭州造价信息价》中没有的，参照《浙江省信息价（202</w:t>
      </w:r>
      <w:r>
        <w:rPr>
          <w:rFonts w:hint="eastAsia" w:ascii="宋体" w:hAnsi="宋体"/>
          <w:lang w:val="en-US" w:eastAsia="zh-CN"/>
        </w:rPr>
        <w:t>6.04</w:t>
      </w:r>
      <w:r>
        <w:rPr>
          <w:rFonts w:hint="eastAsia" w:ascii="宋体" w:hAnsi="宋体"/>
        </w:rPr>
        <w:t>》计入；以上信息价中都没有的无价材料，根据市场询价确定。</w:t>
      </w:r>
    </w:p>
    <w:p>
      <w:pPr>
        <w:keepNext/>
        <w:keepLines/>
        <w:spacing w:line="360" w:lineRule="auto"/>
        <w:ind w:left="1140" w:hanging="420"/>
        <w:rPr>
          <w:rFonts w:ascii="宋体" w:hAnsi="宋体"/>
        </w:rPr>
      </w:pPr>
      <w:r>
        <w:rPr>
          <w:rFonts w:hint="eastAsia" w:ascii="新宋体" w:hAnsi="新宋体" w:eastAsia="新宋体"/>
        </w:rPr>
        <w:t>12.</w:t>
      </w:r>
      <w:r>
        <w:rPr>
          <w:rFonts w:hint="eastAsia" w:ascii="新宋体" w:hAnsi="新宋体" w:eastAsia="新宋体"/>
        </w:rPr>
        <w:tab/>
      </w:r>
      <w:r>
        <w:rPr>
          <w:rFonts w:hint="eastAsia" w:ascii="宋体" w:hAnsi="宋体"/>
        </w:rPr>
        <w:t>其他相关资料；</w:t>
      </w:r>
    </w:p>
    <w:p>
      <w:pPr>
        <w:keepNext/>
        <w:keepLines/>
        <w:spacing w:line="360" w:lineRule="auto"/>
        <w:ind w:left="1140" w:hanging="420"/>
        <w:rPr>
          <w:rFonts w:ascii="宋体" w:hAnsi="宋体"/>
        </w:rPr>
      </w:pPr>
      <w:r>
        <w:rPr>
          <w:rFonts w:hint="eastAsia" w:ascii="宋体" w:hAnsi="宋体"/>
        </w:rPr>
        <w:t>13.根据相关文件计取安全生产责任保险费用；</w:t>
      </w:r>
    </w:p>
    <w:p>
      <w:pPr>
        <w:spacing w:line="360" w:lineRule="auto"/>
        <w:ind w:left="420" w:hanging="420"/>
        <w:rPr>
          <w:rFonts w:ascii="宋体" w:hAnsi="宋体"/>
          <w:sz w:val="24"/>
        </w:rPr>
      </w:pPr>
      <w:r>
        <w:rPr>
          <w:rFonts w:hint="eastAsia" w:ascii="宋体" w:hAnsi="宋体"/>
        </w:rPr>
        <w:t>四.</w:t>
      </w:r>
      <w:r>
        <w:rPr>
          <w:rFonts w:hint="eastAsia" w:ascii="宋体" w:hAnsi="宋体"/>
        </w:rPr>
        <w:tab/>
      </w:r>
      <w:r>
        <w:rPr>
          <w:rFonts w:hint="eastAsia" w:ascii="宋体" w:hAnsi="宋体"/>
          <w:b/>
          <w:color w:val="FF0000"/>
          <w:sz w:val="24"/>
        </w:rPr>
        <w:t>工程质量、工期、材料、施工等要求：</w:t>
      </w:r>
      <w:r>
        <w:rPr>
          <w:rFonts w:hint="eastAsia" w:ascii="宋体" w:hAnsi="宋体"/>
          <w:sz w:val="24"/>
        </w:rPr>
        <w:t>按招标文件。</w:t>
      </w:r>
    </w:p>
    <w:p>
      <w:pPr>
        <w:spacing w:line="360" w:lineRule="auto"/>
        <w:ind w:left="420" w:hanging="420"/>
        <w:rPr>
          <w:rFonts w:ascii="宋体" w:hAnsi="宋体"/>
          <w:b/>
          <w:color w:val="FF0000"/>
          <w:sz w:val="24"/>
        </w:rPr>
      </w:pPr>
      <w:r>
        <w:rPr>
          <w:rFonts w:hint="eastAsia" w:ascii="宋体" w:hAnsi="宋体"/>
          <w:lang w:val="en-US" w:eastAsia="zh-CN"/>
        </w:rPr>
        <w:t>五</w:t>
      </w:r>
      <w:r>
        <w:rPr>
          <w:rFonts w:hint="eastAsia" w:ascii="宋体" w:hAnsi="宋体"/>
        </w:rPr>
        <w:t>.</w:t>
      </w:r>
      <w:r>
        <w:rPr>
          <w:rFonts w:hint="eastAsia" w:ascii="宋体" w:hAnsi="宋体"/>
        </w:rPr>
        <w:tab/>
      </w:r>
      <w:r>
        <w:rPr>
          <w:rFonts w:hint="eastAsia" w:ascii="宋体" w:hAnsi="宋体"/>
          <w:b/>
          <w:color w:val="FF0000"/>
          <w:sz w:val="24"/>
        </w:rPr>
        <w:t>取费说明：</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招标控制价中安全文明施工费按《浙江省建设工程计价规则》（2018版）规定的非市区一般工程相应费率中值取费；取费基数为人工费+机械费，建筑</w:t>
      </w:r>
      <w:r>
        <w:rPr>
          <w:rFonts w:hint="eastAsia" w:ascii="宋体" w:hAnsi="宋体" w:cs="宋体"/>
          <w:b/>
          <w:bCs/>
          <w:color w:val="auto"/>
          <w:sz w:val="24"/>
          <w:szCs w:val="24"/>
          <w:lang w:val="en-US" w:eastAsia="zh-CN"/>
        </w:rPr>
        <w:t>安全文明施工费费率为9.91%，安装安全文明施工费费率为7.4%，市政安全文明施工费费率为8.91%</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cs="宋体"/>
          <w:b/>
          <w:bCs/>
          <w:color w:val="auto"/>
          <w:sz w:val="24"/>
          <w:szCs w:val="24"/>
          <w:lang w:val="en-US" w:eastAsia="zh-CN"/>
        </w:rPr>
      </w:pPr>
      <w:r>
        <w:rPr>
          <w:rFonts w:hint="eastAsia" w:ascii="宋体" w:hAnsi="宋体" w:cs="宋体"/>
          <w:color w:val="auto"/>
          <w:sz w:val="24"/>
          <w:szCs w:val="24"/>
          <w:lang w:val="en-US" w:eastAsia="zh-CN"/>
        </w:rPr>
        <w:t>招标控制价中企业管理费按《浙江省建设工程计价规则》（2018版）规定的相应费率中值取费；取费基数为人工费+机械费，建筑</w:t>
      </w:r>
      <w:r>
        <w:rPr>
          <w:rFonts w:hint="eastAsia" w:ascii="宋体" w:hAnsi="宋体" w:cs="宋体"/>
          <w:b/>
          <w:bCs/>
          <w:color w:val="auto"/>
          <w:sz w:val="24"/>
          <w:szCs w:val="24"/>
          <w:lang w:val="en-US" w:eastAsia="zh-CN"/>
        </w:rPr>
        <w:t>企业管理费费率为16.57%，</w:t>
      </w:r>
      <w:r>
        <w:rPr>
          <w:rFonts w:hint="eastAsia" w:ascii="宋体" w:hAnsi="宋体" w:cs="宋体"/>
          <w:color w:val="auto"/>
          <w:sz w:val="24"/>
          <w:szCs w:val="24"/>
          <w:lang w:val="en-US" w:eastAsia="zh-CN"/>
        </w:rPr>
        <w:t>安装</w:t>
      </w:r>
      <w:r>
        <w:rPr>
          <w:rFonts w:hint="eastAsia" w:ascii="宋体" w:hAnsi="宋体" w:cs="宋体"/>
          <w:b/>
          <w:bCs/>
          <w:color w:val="auto"/>
          <w:sz w:val="24"/>
          <w:szCs w:val="24"/>
          <w:lang w:val="en-US" w:eastAsia="zh-CN"/>
        </w:rPr>
        <w:t>企业管理费费率为21.72%，</w:t>
      </w:r>
      <w:r>
        <w:rPr>
          <w:rFonts w:hint="eastAsia" w:ascii="宋体" w:hAnsi="宋体" w:cs="宋体"/>
          <w:color w:val="auto"/>
          <w:sz w:val="24"/>
          <w:szCs w:val="24"/>
          <w:lang w:val="en-US" w:eastAsia="zh-CN"/>
        </w:rPr>
        <w:t>市政</w:t>
      </w:r>
      <w:r>
        <w:rPr>
          <w:rFonts w:hint="eastAsia" w:ascii="宋体" w:hAnsi="宋体" w:cs="宋体"/>
          <w:b/>
          <w:bCs/>
          <w:color w:val="auto"/>
          <w:sz w:val="24"/>
          <w:szCs w:val="24"/>
          <w:lang w:val="en-US" w:eastAsia="zh-CN"/>
        </w:rPr>
        <w:t>企业管理费费率为17.04%</w:t>
      </w:r>
    </w:p>
    <w:p>
      <w:pPr>
        <w:spacing w:line="360" w:lineRule="auto"/>
        <w:rPr>
          <w:rFonts w:ascii="宋体" w:hAnsi="宋体" w:eastAsia="宋体" w:cs="宋体"/>
          <w:color w:val="auto"/>
          <w:sz w:val="24"/>
          <w:szCs w:val="24"/>
        </w:rPr>
      </w:pPr>
      <w:r>
        <w:rPr>
          <w:rFonts w:hint="eastAsia" w:ascii="宋体" w:hAnsi="宋体" w:cs="宋体"/>
          <w:color w:val="auto"/>
          <w:sz w:val="24"/>
          <w:szCs w:val="24"/>
          <w:lang w:val="en-US" w:eastAsia="zh-CN"/>
        </w:rPr>
        <w:t>3、规费按《浙江省建设工程计价规则》（2018版）规定取费，取费基数为人工费+机械费，</w:t>
      </w:r>
      <w:bookmarkStart w:id="0" w:name="OLE_LINK1"/>
      <w:r>
        <w:rPr>
          <w:rFonts w:hint="eastAsia" w:ascii="宋体" w:hAnsi="宋体" w:cs="宋体"/>
          <w:color w:val="auto"/>
          <w:sz w:val="24"/>
          <w:szCs w:val="24"/>
          <w:lang w:val="en-US" w:eastAsia="zh-CN"/>
        </w:rPr>
        <w:t>建筑</w:t>
      </w:r>
      <w:r>
        <w:rPr>
          <w:rFonts w:hint="eastAsia" w:ascii="宋体" w:hAnsi="宋体" w:cs="宋体"/>
          <w:b/>
          <w:bCs/>
          <w:color w:val="auto"/>
          <w:sz w:val="24"/>
          <w:szCs w:val="24"/>
          <w:lang w:val="en-US" w:eastAsia="zh-CN"/>
        </w:rPr>
        <w:t>规费费率为25.78%</w:t>
      </w:r>
      <w:bookmarkEnd w:id="0"/>
      <w:r>
        <w:rPr>
          <w:rFonts w:hint="eastAsia" w:ascii="宋体" w:hAnsi="宋体" w:cs="宋体"/>
          <w:b/>
          <w:bCs/>
          <w:color w:val="auto"/>
          <w:sz w:val="24"/>
          <w:szCs w:val="24"/>
          <w:lang w:val="en-US" w:eastAsia="zh-CN"/>
        </w:rPr>
        <w:t>，</w:t>
      </w:r>
      <w:r>
        <w:rPr>
          <w:rFonts w:hint="eastAsia" w:ascii="宋体" w:hAnsi="宋体" w:cs="宋体"/>
          <w:color w:val="auto"/>
          <w:sz w:val="24"/>
          <w:szCs w:val="24"/>
          <w:lang w:val="en-US" w:eastAsia="zh-CN"/>
        </w:rPr>
        <w:t>安装</w:t>
      </w:r>
      <w:r>
        <w:rPr>
          <w:rFonts w:hint="eastAsia" w:ascii="宋体" w:hAnsi="宋体" w:cs="宋体"/>
          <w:b/>
          <w:bCs/>
          <w:color w:val="auto"/>
          <w:sz w:val="24"/>
          <w:szCs w:val="24"/>
          <w:lang w:val="en-US" w:eastAsia="zh-CN"/>
        </w:rPr>
        <w:t>规费费率为30.63%，市政规费费率为18.75%</w:t>
      </w:r>
      <w:r>
        <w:rPr>
          <w:rFonts w:ascii="宋体" w:hAnsi="宋体" w:eastAsia="宋体" w:cs="宋体"/>
          <w:color w:val="auto"/>
          <w:sz w:val="24"/>
          <w:szCs w:val="24"/>
        </w:rPr>
        <w:br w:type="textWrapping"/>
      </w:r>
      <w:r>
        <w:rPr>
          <w:rFonts w:ascii="宋体" w:hAnsi="宋体" w:eastAsia="宋体" w:cs="宋体"/>
          <w:color w:val="auto"/>
          <w:sz w:val="24"/>
          <w:szCs w:val="24"/>
        </w:rPr>
        <w:t>4、税金费率为9%（增值税，此项费用为不可竞争费用，不得竞争）。</w:t>
      </w:r>
    </w:p>
    <w:p>
      <w:pPr>
        <w:spacing w:line="360" w:lineRule="auto"/>
        <w:rPr>
          <w:rFonts w:ascii="宋体" w:hAnsi="宋体"/>
          <w:b/>
          <w:color w:val="FF0000"/>
          <w:sz w:val="24"/>
        </w:rPr>
      </w:pPr>
      <w:r>
        <w:rPr>
          <w:rFonts w:hint="eastAsia" w:ascii="宋体" w:hAnsi="宋体"/>
          <w:b/>
          <w:color w:val="FF0000"/>
          <w:sz w:val="24"/>
          <w:lang w:val="en-US" w:eastAsia="zh-CN"/>
        </w:rPr>
        <w:t>六</w:t>
      </w:r>
      <w:r>
        <w:rPr>
          <w:rFonts w:hint="eastAsia" w:ascii="宋体" w:hAnsi="宋体"/>
          <w:b/>
          <w:color w:val="FF0000"/>
          <w:sz w:val="24"/>
        </w:rPr>
        <w:t>.其它相关说明：</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1、本工程根据图纸工程量计算，具体按实结算；</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2、脚手架的类型自行考虑并应符合相关规定，中标后不做调整</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3、本项目部分造型含弧形，综合单价包含弧形增加费，不再另行计价，投标单位综合考虑相关费用</w:t>
      </w:r>
    </w:p>
    <w:p>
      <w:pPr>
        <w:spacing w:line="360" w:lineRule="auto"/>
        <w:ind w:left="420" w:leftChars="200" w:firstLine="210" w:firstLineChars="100"/>
        <w:rPr>
          <w:rFonts w:hint="default" w:ascii="新宋体" w:hAnsi="新宋体" w:eastAsia="新宋体"/>
          <w:szCs w:val="22"/>
          <w:lang w:val="en-US" w:eastAsia="zh-CN"/>
        </w:rPr>
      </w:pPr>
      <w:r>
        <w:rPr>
          <w:rFonts w:hint="eastAsia" w:ascii="新宋体" w:hAnsi="新宋体" w:eastAsia="新宋体"/>
          <w:szCs w:val="22"/>
          <w:lang w:val="en-US" w:eastAsia="zh-CN"/>
        </w:rPr>
        <w:t>4、本项目所有材料等需经业主、设计确认，投标单位综合考虑相关颜色、纹路、选样等相关风险费用</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5、检修口考虑在吊顶综合单价中</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6、本项目土石方运至业主指定场所，故不产生消纳费</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7、本项目做法暂按做法说明表计入</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8、本项目礼堂村标需二次深化设计，投标单位综合考虑相关费用</w:t>
      </w:r>
    </w:p>
    <w:p>
      <w:pPr>
        <w:spacing w:line="360" w:lineRule="auto"/>
        <w:ind w:left="420" w:leftChars="200" w:firstLine="210" w:firstLineChars="100"/>
        <w:rPr>
          <w:rFonts w:hint="default" w:ascii="新宋体" w:hAnsi="新宋体" w:eastAsia="新宋体"/>
          <w:szCs w:val="22"/>
          <w:lang w:val="en-US" w:eastAsia="zh-CN"/>
        </w:rPr>
      </w:pPr>
      <w:r>
        <w:rPr>
          <w:rFonts w:hint="eastAsia" w:ascii="新宋体" w:hAnsi="新宋体" w:eastAsia="新宋体"/>
          <w:szCs w:val="22"/>
          <w:lang w:val="en-US" w:eastAsia="zh-CN"/>
        </w:rPr>
        <w:t>9、本项目暂未考虑防寒遮荫措施计入</w:t>
      </w:r>
      <w:bookmarkStart w:id="1" w:name="_GoBack"/>
      <w:bookmarkEnd w:id="1"/>
    </w:p>
    <w:p>
      <w:pPr>
        <w:spacing w:line="400" w:lineRule="exact"/>
        <w:jc w:val="left"/>
        <w:rPr>
          <w:rFonts w:ascii="宋体" w:hAnsi="宋体" w:cs="宋体"/>
          <w:b/>
          <w:color w:val="auto"/>
          <w:szCs w:val="21"/>
        </w:rPr>
      </w:pPr>
      <w:r>
        <w:rPr>
          <w:rFonts w:hint="eastAsia"/>
          <w:b/>
          <w:color w:val="auto"/>
          <w:sz w:val="24"/>
          <w:lang w:val="en-US" w:eastAsia="zh-CN"/>
        </w:rPr>
        <w:t>七</w:t>
      </w:r>
      <w:r>
        <w:rPr>
          <w:rFonts w:hint="eastAsia"/>
          <w:b/>
          <w:color w:val="auto"/>
          <w:sz w:val="24"/>
          <w:lang w:eastAsia="zh-CN"/>
        </w:rPr>
        <w:t>、报价补充说明</w:t>
      </w:r>
      <w:r>
        <w:rPr>
          <w:rFonts w:hint="eastAsia"/>
          <w:b/>
          <w:color w:val="auto"/>
          <w:sz w:val="24"/>
        </w:rPr>
        <w:t>：</w:t>
      </w:r>
      <w:r>
        <w:rPr>
          <w:rFonts w:hint="eastAsia" w:ascii="宋体" w:hAnsi="宋体" w:cs="宋体"/>
          <w:b/>
          <w:color w:val="auto"/>
          <w:szCs w:val="21"/>
        </w:rPr>
        <w:t>各投标单位在参加投标时，要根据企业自身各项技术经济实力，充分考虑以下因素：</w:t>
      </w:r>
    </w:p>
    <w:p>
      <w:pPr>
        <w:spacing w:line="360" w:lineRule="auto"/>
        <w:rPr>
          <w:rFonts w:hAnsi="宋体"/>
          <w:bCs/>
          <w:color w:val="auto"/>
          <w:sz w:val="21"/>
          <w:szCs w:val="21"/>
        </w:rPr>
      </w:pPr>
      <w:r>
        <w:rPr>
          <w:rFonts w:hint="eastAsia" w:hAnsi="宋体"/>
          <w:bCs/>
          <w:color w:val="auto"/>
          <w:sz w:val="22"/>
          <w:szCs w:val="22"/>
        </w:rPr>
        <w:t>1、</w:t>
      </w:r>
      <w:r>
        <w:rPr>
          <w:rFonts w:hint="eastAsia" w:hAnsi="宋体"/>
          <w:bCs/>
          <w:color w:val="auto"/>
          <w:sz w:val="21"/>
          <w:szCs w:val="21"/>
        </w:rPr>
        <w:t>招标人未限定品牌的材料</w:t>
      </w:r>
      <w:r>
        <w:rPr>
          <w:rFonts w:hint="eastAsia" w:hAnsi="宋体"/>
          <w:bCs/>
          <w:color w:val="auto"/>
          <w:sz w:val="21"/>
          <w:szCs w:val="21"/>
          <w:lang w:eastAsia="zh-CN"/>
        </w:rPr>
        <w:t>，</w:t>
      </w:r>
      <w:r>
        <w:rPr>
          <w:rFonts w:hint="eastAsia" w:hAnsi="宋体"/>
          <w:bCs/>
          <w:color w:val="auto"/>
          <w:sz w:val="21"/>
          <w:szCs w:val="21"/>
        </w:rPr>
        <w:t>投标人</w:t>
      </w:r>
      <w:r>
        <w:rPr>
          <w:rFonts w:hint="eastAsia" w:hAnsi="宋体"/>
          <w:bCs/>
          <w:color w:val="auto"/>
          <w:sz w:val="21"/>
          <w:szCs w:val="21"/>
          <w:lang w:eastAsia="zh-CN"/>
        </w:rPr>
        <w:t>在进场前</w:t>
      </w:r>
      <w:r>
        <w:rPr>
          <w:rFonts w:hint="eastAsia" w:hAnsi="宋体"/>
          <w:bCs/>
          <w:color w:val="auto"/>
          <w:sz w:val="21"/>
          <w:szCs w:val="21"/>
        </w:rPr>
        <w:t>必须经建设单位及监理单位确认后方可使用。</w:t>
      </w:r>
    </w:p>
    <w:p>
      <w:pPr>
        <w:spacing w:line="360" w:lineRule="auto"/>
        <w:rPr>
          <w:rFonts w:hAnsi="宋体"/>
          <w:bCs/>
          <w:color w:val="auto"/>
          <w:sz w:val="21"/>
          <w:szCs w:val="21"/>
        </w:rPr>
      </w:pPr>
      <w:r>
        <w:rPr>
          <w:rFonts w:hint="eastAsia" w:hAnsi="宋体"/>
          <w:bCs/>
          <w:color w:val="auto"/>
          <w:sz w:val="21"/>
          <w:szCs w:val="21"/>
        </w:rPr>
        <w:t>2、工程检测、材料试验费含常规、非常规实验等费用，要通过质检站以及其他相关部门验收所必须检测的全部检验费用，所需费用计入相关子目或措施项目费用内，结算时不再增加任何费用；</w:t>
      </w:r>
    </w:p>
    <w:p>
      <w:pPr>
        <w:spacing w:line="360" w:lineRule="auto"/>
        <w:rPr>
          <w:rFonts w:hAnsi="宋体"/>
          <w:bCs/>
          <w:color w:val="auto"/>
          <w:sz w:val="21"/>
          <w:szCs w:val="21"/>
        </w:rPr>
      </w:pPr>
      <w:r>
        <w:rPr>
          <w:rFonts w:hint="eastAsia" w:hAnsi="宋体"/>
          <w:bCs/>
          <w:color w:val="auto"/>
          <w:sz w:val="21"/>
          <w:szCs w:val="21"/>
        </w:rPr>
        <w:t>3、各报价（综合单价）须同时满足项目特征、图纸、图集、强制规范、技术标准等内容；</w:t>
      </w:r>
    </w:p>
    <w:p>
      <w:pPr>
        <w:spacing w:line="360" w:lineRule="auto"/>
        <w:rPr>
          <w:rFonts w:hint="eastAsia" w:hAnsi="宋体"/>
          <w:bCs/>
          <w:color w:val="auto"/>
          <w:sz w:val="21"/>
          <w:szCs w:val="21"/>
        </w:rPr>
      </w:pPr>
      <w:r>
        <w:rPr>
          <w:rFonts w:hint="eastAsia" w:hAnsi="宋体"/>
          <w:bCs/>
          <w:color w:val="auto"/>
          <w:sz w:val="21"/>
          <w:szCs w:val="21"/>
        </w:rPr>
        <w:t>4、投标人对工程量清单有任何疑问，应于招标文件规定的疑问提交截止日前提出，否则视为投标人认可该工程量清单已包括了招标范围内的全部内容；</w:t>
      </w:r>
    </w:p>
    <w:p>
      <w:pPr>
        <w:widowControl/>
        <w:spacing w:line="400" w:lineRule="exact"/>
        <w:jc w:val="left"/>
        <w:rPr>
          <w:rFonts w:hint="eastAsia" w:ascii="宋体" w:hAnsi="宋体" w:cs="宋体"/>
          <w:color w:val="auto"/>
          <w:kern w:val="0"/>
          <w:sz w:val="21"/>
          <w:szCs w:val="21"/>
        </w:rPr>
      </w:pPr>
      <w:r>
        <w:rPr>
          <w:rFonts w:hint="eastAsia" w:ascii="宋体" w:hAnsi="宋体"/>
          <w:color w:val="auto"/>
          <w:sz w:val="21"/>
          <w:szCs w:val="21"/>
          <w:lang w:val="en-US" w:eastAsia="zh-CN"/>
        </w:rPr>
        <w:t>5</w:t>
      </w:r>
      <w:r>
        <w:rPr>
          <w:rFonts w:hint="eastAsia" w:ascii="宋体" w:hAnsi="宋体" w:cs="宋体"/>
          <w:color w:val="auto"/>
          <w:kern w:val="0"/>
          <w:sz w:val="21"/>
          <w:szCs w:val="21"/>
        </w:rPr>
        <w:t>、本工程周围建筑物及杆线的保护费、管线保护、保证交通安全等要求投标单位综合考虑，中标后措施费用不作调整。</w:t>
      </w:r>
    </w:p>
    <w:p>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6</w:t>
      </w:r>
      <w:r>
        <w:rPr>
          <w:rFonts w:hint="eastAsia" w:ascii="宋体" w:hAnsi="宋体" w:cs="宋体"/>
          <w:color w:val="auto"/>
          <w:kern w:val="0"/>
          <w:sz w:val="21"/>
          <w:szCs w:val="21"/>
        </w:rPr>
        <w:t>、施工期间特别要注意加强安全措施，施工中的安全标志、警戒标志、标牌制作、夜间照明费用等安全措施费要求投标单位综合考虑，中标后措施费用不作调整。</w:t>
      </w:r>
    </w:p>
    <w:p>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7</w:t>
      </w:r>
      <w:r>
        <w:rPr>
          <w:rFonts w:hint="eastAsia" w:ascii="宋体" w:hAnsi="宋体" w:cs="宋体"/>
          <w:color w:val="auto"/>
          <w:kern w:val="0"/>
          <w:sz w:val="21"/>
          <w:szCs w:val="21"/>
        </w:rPr>
        <w:t>、要求投标单位综合考虑行车干扰、工程沿线的住户进出和其它工程施工干扰等因素，施工期间应保证沿线住户、单位及过往车辆、人员的正常通行，请投标单位综合考虑设置施工便道、便道日常维护等费用措施费，中标后措施费用不作调整。</w:t>
      </w:r>
    </w:p>
    <w:p>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kern w:val="0"/>
          <w:sz w:val="21"/>
          <w:szCs w:val="21"/>
          <w:lang w:val="en-US" w:eastAsia="zh-CN"/>
        </w:rPr>
        <w:t>8</w:t>
      </w:r>
      <w:r>
        <w:rPr>
          <w:rFonts w:hint="eastAsia" w:ascii="宋体" w:hAnsi="宋体" w:cs="宋体"/>
          <w:color w:val="auto"/>
          <w:kern w:val="0"/>
          <w:sz w:val="21"/>
          <w:szCs w:val="21"/>
        </w:rPr>
        <w:t>、</w:t>
      </w:r>
      <w:r>
        <w:rPr>
          <w:rFonts w:hint="eastAsia" w:ascii="宋体" w:hAnsi="宋体" w:cs="宋体"/>
          <w:color w:val="auto"/>
          <w:kern w:val="0"/>
          <w:sz w:val="21"/>
          <w:szCs w:val="21"/>
          <w:lang w:val="zh-CN"/>
        </w:rPr>
        <w:t>施工过程中如需要与其他部门或相关单位协调与配合所产生的费用请计入措施项目清单报价中，中标后一律不予调整。中标人不文明施工引起的诸如渣土管理、交通、治安、环保等罚款及管线抢修等费用均由中标人自行承担，招标人概不负责。</w:t>
      </w:r>
    </w:p>
    <w:p>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sz w:val="21"/>
          <w:szCs w:val="21"/>
          <w:lang w:val="en-US" w:eastAsia="zh-CN"/>
        </w:rPr>
        <w:t>9、</w:t>
      </w:r>
      <w:r>
        <w:rPr>
          <w:rFonts w:ascii="宋体" w:hAnsi="宋体" w:eastAsia="宋体" w:cs="宋体"/>
          <w:color w:val="auto"/>
          <w:sz w:val="21"/>
          <w:szCs w:val="21"/>
        </w:rPr>
        <w:t>因施工图深度等原因，本清单工程量仅供投标报价使用，实际工程量待结算时按实调整。投标单位应综合工程量误差风险因素进行报价，结算时不因工程量增减变化而调整投标综合单价。</w:t>
      </w:r>
    </w:p>
    <w:p>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10</w:t>
      </w:r>
      <w:r>
        <w:rPr>
          <w:rFonts w:hint="eastAsia" w:ascii="宋体" w:hAnsi="宋体" w:cs="宋体"/>
          <w:color w:val="auto"/>
          <w:kern w:val="0"/>
          <w:sz w:val="21"/>
          <w:szCs w:val="21"/>
        </w:rPr>
        <w:t>、请各投标人对施工中可能影响的交通、河道排水、现状建筑物的保护及现状管（杆）线进行调查，并考虑对具体施工的影响因素，中标后措施费用不作调整。</w:t>
      </w:r>
    </w:p>
    <w:p>
      <w:pPr>
        <w:widowControl/>
        <w:spacing w:line="400" w:lineRule="exact"/>
        <w:jc w:val="left"/>
        <w:rPr>
          <w:rFonts w:hint="default"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11、以项为单位的项目，按包干处理，投标人自行考虑风险综合考虑费用</w:t>
      </w:r>
    </w:p>
    <w:p>
      <w:pPr>
        <w:pStyle w:val="6"/>
        <w:keepNext w:val="0"/>
        <w:keepLines w:val="0"/>
        <w:widowControl/>
        <w:suppressLineNumbers w:val="0"/>
        <w:spacing w:before="0" w:beforeAutospacing="0" w:after="0" w:afterAutospacing="0"/>
        <w:ind w:left="0" w:right="0" w:firstLine="660" w:firstLineChars="300"/>
        <w:rPr>
          <w:rFonts w:hint="default" w:ascii="MS Sans Serif" w:hAnsi="MS Sans Serif" w:eastAsia="MS Sans Serif"/>
          <w:sz w:val="22"/>
          <w:szCs w:val="24"/>
          <w:lang w:val="en-US" w:eastAsia="zh-CN"/>
        </w:rPr>
      </w:pP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MS Sans Serif">
    <w:altName w:val="宋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9B04EE"/>
    <w:multiLevelType w:val="singleLevel"/>
    <w:tmpl w:val="5F9B04E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iOGIwMmU0YWFjMTc5OTEzMWEzY2NhYjE2MDBiZDMifQ=="/>
  </w:docVars>
  <w:rsids>
    <w:rsidRoot w:val="00172A27"/>
    <w:rsid w:val="00172A27"/>
    <w:rsid w:val="00335C8E"/>
    <w:rsid w:val="00343874"/>
    <w:rsid w:val="0037277D"/>
    <w:rsid w:val="00493D7D"/>
    <w:rsid w:val="004F74E3"/>
    <w:rsid w:val="00C26DB7"/>
    <w:rsid w:val="00DC3A11"/>
    <w:rsid w:val="00F051F4"/>
    <w:rsid w:val="00FD7E99"/>
    <w:rsid w:val="011449C3"/>
    <w:rsid w:val="01AD4892"/>
    <w:rsid w:val="023539DB"/>
    <w:rsid w:val="02BC31C1"/>
    <w:rsid w:val="03543DD4"/>
    <w:rsid w:val="03F35DF6"/>
    <w:rsid w:val="03F67290"/>
    <w:rsid w:val="03FF7145"/>
    <w:rsid w:val="04B26125"/>
    <w:rsid w:val="04B55AFF"/>
    <w:rsid w:val="04E646DA"/>
    <w:rsid w:val="04FE0667"/>
    <w:rsid w:val="050F09E9"/>
    <w:rsid w:val="054377AC"/>
    <w:rsid w:val="057F101B"/>
    <w:rsid w:val="06042032"/>
    <w:rsid w:val="071315DC"/>
    <w:rsid w:val="07244D79"/>
    <w:rsid w:val="07391FA4"/>
    <w:rsid w:val="07C75744"/>
    <w:rsid w:val="07F77E37"/>
    <w:rsid w:val="085B45B2"/>
    <w:rsid w:val="08C01522"/>
    <w:rsid w:val="09027DD6"/>
    <w:rsid w:val="09481920"/>
    <w:rsid w:val="099020AD"/>
    <w:rsid w:val="09AD2173"/>
    <w:rsid w:val="09C54AB0"/>
    <w:rsid w:val="09CD05A4"/>
    <w:rsid w:val="09F617BA"/>
    <w:rsid w:val="0A1A3E49"/>
    <w:rsid w:val="0A690D0E"/>
    <w:rsid w:val="0AA27BF2"/>
    <w:rsid w:val="0AA92A2B"/>
    <w:rsid w:val="0AC6516F"/>
    <w:rsid w:val="0AF56F1B"/>
    <w:rsid w:val="0B8F756D"/>
    <w:rsid w:val="0B912CFD"/>
    <w:rsid w:val="0C373C76"/>
    <w:rsid w:val="0CAC0426"/>
    <w:rsid w:val="0CD47233"/>
    <w:rsid w:val="0D084A92"/>
    <w:rsid w:val="0D0A4C8C"/>
    <w:rsid w:val="0D207F4A"/>
    <w:rsid w:val="0D881988"/>
    <w:rsid w:val="0DBE19B7"/>
    <w:rsid w:val="0E130E4D"/>
    <w:rsid w:val="0E8427BE"/>
    <w:rsid w:val="0EDD34DE"/>
    <w:rsid w:val="0F874F8C"/>
    <w:rsid w:val="0FC57D85"/>
    <w:rsid w:val="0FC6328C"/>
    <w:rsid w:val="102569C7"/>
    <w:rsid w:val="103B2C49"/>
    <w:rsid w:val="104430E9"/>
    <w:rsid w:val="109D62BA"/>
    <w:rsid w:val="11865125"/>
    <w:rsid w:val="11CD3DFC"/>
    <w:rsid w:val="11CF5DEE"/>
    <w:rsid w:val="128778D1"/>
    <w:rsid w:val="128C061D"/>
    <w:rsid w:val="12A6138C"/>
    <w:rsid w:val="12CE55FC"/>
    <w:rsid w:val="12E87C54"/>
    <w:rsid w:val="135F0C8F"/>
    <w:rsid w:val="13AF2F6F"/>
    <w:rsid w:val="13E94A4E"/>
    <w:rsid w:val="14224690"/>
    <w:rsid w:val="143D27BE"/>
    <w:rsid w:val="14410B59"/>
    <w:rsid w:val="144C71AD"/>
    <w:rsid w:val="147A0621"/>
    <w:rsid w:val="147D36EB"/>
    <w:rsid w:val="14D720F1"/>
    <w:rsid w:val="14F450DE"/>
    <w:rsid w:val="14FB2C6B"/>
    <w:rsid w:val="15A20FDE"/>
    <w:rsid w:val="15F841F0"/>
    <w:rsid w:val="16E11042"/>
    <w:rsid w:val="173E50E9"/>
    <w:rsid w:val="174B2FAF"/>
    <w:rsid w:val="17B54033"/>
    <w:rsid w:val="182204F7"/>
    <w:rsid w:val="18273B65"/>
    <w:rsid w:val="182F452A"/>
    <w:rsid w:val="188E5849"/>
    <w:rsid w:val="18C03380"/>
    <w:rsid w:val="18D72712"/>
    <w:rsid w:val="18E9727C"/>
    <w:rsid w:val="19753BC2"/>
    <w:rsid w:val="1AC913AC"/>
    <w:rsid w:val="1B2E34A3"/>
    <w:rsid w:val="1B6C4493"/>
    <w:rsid w:val="1B6F2FA9"/>
    <w:rsid w:val="1BBC447B"/>
    <w:rsid w:val="1CE36FD4"/>
    <w:rsid w:val="1D912BF4"/>
    <w:rsid w:val="1F13311C"/>
    <w:rsid w:val="1F332069"/>
    <w:rsid w:val="20662B92"/>
    <w:rsid w:val="206E540C"/>
    <w:rsid w:val="20887022"/>
    <w:rsid w:val="20E91BFB"/>
    <w:rsid w:val="219914E7"/>
    <w:rsid w:val="21F40D2C"/>
    <w:rsid w:val="22364F87"/>
    <w:rsid w:val="229879F0"/>
    <w:rsid w:val="22B060DA"/>
    <w:rsid w:val="22FB2D58"/>
    <w:rsid w:val="23354EAE"/>
    <w:rsid w:val="235B4176"/>
    <w:rsid w:val="2395582A"/>
    <w:rsid w:val="23A743A8"/>
    <w:rsid w:val="23E37C91"/>
    <w:rsid w:val="246E6150"/>
    <w:rsid w:val="24864E74"/>
    <w:rsid w:val="249B0281"/>
    <w:rsid w:val="252F5504"/>
    <w:rsid w:val="256B0ACF"/>
    <w:rsid w:val="25906715"/>
    <w:rsid w:val="262D7636"/>
    <w:rsid w:val="2648798C"/>
    <w:rsid w:val="269E53DC"/>
    <w:rsid w:val="26AD5781"/>
    <w:rsid w:val="27AC35F6"/>
    <w:rsid w:val="28542E36"/>
    <w:rsid w:val="285A116D"/>
    <w:rsid w:val="286B74FA"/>
    <w:rsid w:val="28C7481B"/>
    <w:rsid w:val="28C82FBA"/>
    <w:rsid w:val="28E2121C"/>
    <w:rsid w:val="29016A4D"/>
    <w:rsid w:val="294650B7"/>
    <w:rsid w:val="295B7EF9"/>
    <w:rsid w:val="295C2E68"/>
    <w:rsid w:val="2A1E1CDB"/>
    <w:rsid w:val="2A3032EF"/>
    <w:rsid w:val="2A7D3E5F"/>
    <w:rsid w:val="2ADB22B2"/>
    <w:rsid w:val="2BCF68B1"/>
    <w:rsid w:val="2C3C7E23"/>
    <w:rsid w:val="2C541D36"/>
    <w:rsid w:val="2C8559C5"/>
    <w:rsid w:val="2CA756A8"/>
    <w:rsid w:val="2D4E23B7"/>
    <w:rsid w:val="2D6C0B7A"/>
    <w:rsid w:val="2D6C1B47"/>
    <w:rsid w:val="2D6D5C0E"/>
    <w:rsid w:val="2D76663F"/>
    <w:rsid w:val="2D8B0E85"/>
    <w:rsid w:val="2E3B1AF8"/>
    <w:rsid w:val="2E7035CF"/>
    <w:rsid w:val="2E9417D4"/>
    <w:rsid w:val="2EA11D1D"/>
    <w:rsid w:val="2EE84158"/>
    <w:rsid w:val="2EF5300D"/>
    <w:rsid w:val="2FF5795A"/>
    <w:rsid w:val="30550CCF"/>
    <w:rsid w:val="30B35EEE"/>
    <w:rsid w:val="30CA1FF6"/>
    <w:rsid w:val="30FE786A"/>
    <w:rsid w:val="311D579E"/>
    <w:rsid w:val="31205696"/>
    <w:rsid w:val="312B6EDC"/>
    <w:rsid w:val="31CD0D39"/>
    <w:rsid w:val="31D37733"/>
    <w:rsid w:val="32570E84"/>
    <w:rsid w:val="32EB76C8"/>
    <w:rsid w:val="32F46BE3"/>
    <w:rsid w:val="33333CAF"/>
    <w:rsid w:val="335A68C8"/>
    <w:rsid w:val="338C3B07"/>
    <w:rsid w:val="34150883"/>
    <w:rsid w:val="346516FC"/>
    <w:rsid w:val="34676A5D"/>
    <w:rsid w:val="34A532AF"/>
    <w:rsid w:val="34A67A0F"/>
    <w:rsid w:val="34E10FCC"/>
    <w:rsid w:val="352B641F"/>
    <w:rsid w:val="352E5EF7"/>
    <w:rsid w:val="355F58A5"/>
    <w:rsid w:val="35DD33E4"/>
    <w:rsid w:val="360E4CEE"/>
    <w:rsid w:val="3634610A"/>
    <w:rsid w:val="365B2BEE"/>
    <w:rsid w:val="365D4197"/>
    <w:rsid w:val="365D5566"/>
    <w:rsid w:val="372E5242"/>
    <w:rsid w:val="38180353"/>
    <w:rsid w:val="385E253E"/>
    <w:rsid w:val="386276F7"/>
    <w:rsid w:val="38A03BD2"/>
    <w:rsid w:val="38EC7CF6"/>
    <w:rsid w:val="391B1AE7"/>
    <w:rsid w:val="39AF7F35"/>
    <w:rsid w:val="39BB7E27"/>
    <w:rsid w:val="3A901BFE"/>
    <w:rsid w:val="3AB71B3F"/>
    <w:rsid w:val="3AF21952"/>
    <w:rsid w:val="3B9B203F"/>
    <w:rsid w:val="3C233E11"/>
    <w:rsid w:val="3C682EB4"/>
    <w:rsid w:val="3C825F90"/>
    <w:rsid w:val="3C827932"/>
    <w:rsid w:val="3C8C183E"/>
    <w:rsid w:val="3CD32F52"/>
    <w:rsid w:val="3CDA0F90"/>
    <w:rsid w:val="3CF91F05"/>
    <w:rsid w:val="3D071844"/>
    <w:rsid w:val="3D597CB6"/>
    <w:rsid w:val="3D7E7284"/>
    <w:rsid w:val="3E00721E"/>
    <w:rsid w:val="3EA0610A"/>
    <w:rsid w:val="3FB4735D"/>
    <w:rsid w:val="3FFD062E"/>
    <w:rsid w:val="40F0234E"/>
    <w:rsid w:val="40F273B0"/>
    <w:rsid w:val="41175582"/>
    <w:rsid w:val="413B181B"/>
    <w:rsid w:val="418F2BE2"/>
    <w:rsid w:val="41937A04"/>
    <w:rsid w:val="41CC53AA"/>
    <w:rsid w:val="41D04882"/>
    <w:rsid w:val="42A46533"/>
    <w:rsid w:val="42B31E04"/>
    <w:rsid w:val="43471789"/>
    <w:rsid w:val="43895CE9"/>
    <w:rsid w:val="43A56B2A"/>
    <w:rsid w:val="43EC3B3D"/>
    <w:rsid w:val="44254A04"/>
    <w:rsid w:val="452038D3"/>
    <w:rsid w:val="453421D0"/>
    <w:rsid w:val="455235D7"/>
    <w:rsid w:val="45B63D74"/>
    <w:rsid w:val="45CE696D"/>
    <w:rsid w:val="45DD1AC8"/>
    <w:rsid w:val="46130FB8"/>
    <w:rsid w:val="461C62AA"/>
    <w:rsid w:val="465D66F5"/>
    <w:rsid w:val="46A55699"/>
    <w:rsid w:val="46FC5239"/>
    <w:rsid w:val="47042CD5"/>
    <w:rsid w:val="471054F8"/>
    <w:rsid w:val="47284F37"/>
    <w:rsid w:val="47AA0C78"/>
    <w:rsid w:val="483B47F6"/>
    <w:rsid w:val="489C64ED"/>
    <w:rsid w:val="48AD6C3B"/>
    <w:rsid w:val="48B97A8F"/>
    <w:rsid w:val="49156483"/>
    <w:rsid w:val="4AA034D0"/>
    <w:rsid w:val="4AD03D05"/>
    <w:rsid w:val="4AD8632C"/>
    <w:rsid w:val="4B1048E4"/>
    <w:rsid w:val="4B320B70"/>
    <w:rsid w:val="4BF03AB3"/>
    <w:rsid w:val="4BF86AA2"/>
    <w:rsid w:val="4C025FD5"/>
    <w:rsid w:val="4C9113F4"/>
    <w:rsid w:val="4CF845E7"/>
    <w:rsid w:val="4D5866A8"/>
    <w:rsid w:val="4D9C1748"/>
    <w:rsid w:val="4DA32DA5"/>
    <w:rsid w:val="4E0A64AB"/>
    <w:rsid w:val="4E8C0B09"/>
    <w:rsid w:val="4EE4011C"/>
    <w:rsid w:val="4EE827E8"/>
    <w:rsid w:val="500951DA"/>
    <w:rsid w:val="502A47BA"/>
    <w:rsid w:val="50BE08BC"/>
    <w:rsid w:val="50CE1C75"/>
    <w:rsid w:val="50DB13A3"/>
    <w:rsid w:val="516B3602"/>
    <w:rsid w:val="51E95FAB"/>
    <w:rsid w:val="522204EE"/>
    <w:rsid w:val="522E5817"/>
    <w:rsid w:val="525A2CEE"/>
    <w:rsid w:val="52AC4167"/>
    <w:rsid w:val="52CF6DA2"/>
    <w:rsid w:val="530A55D6"/>
    <w:rsid w:val="53501DBF"/>
    <w:rsid w:val="535E583D"/>
    <w:rsid w:val="537358AC"/>
    <w:rsid w:val="539560F8"/>
    <w:rsid w:val="53BB7DE4"/>
    <w:rsid w:val="53BC45ED"/>
    <w:rsid w:val="54224ABC"/>
    <w:rsid w:val="544D6FA2"/>
    <w:rsid w:val="548B4DBB"/>
    <w:rsid w:val="54A2032B"/>
    <w:rsid w:val="54B514FC"/>
    <w:rsid w:val="55240102"/>
    <w:rsid w:val="558C1FDE"/>
    <w:rsid w:val="559C5EE2"/>
    <w:rsid w:val="55E1237F"/>
    <w:rsid w:val="55E37171"/>
    <w:rsid w:val="55F44DC0"/>
    <w:rsid w:val="560816DA"/>
    <w:rsid w:val="56725024"/>
    <w:rsid w:val="57437223"/>
    <w:rsid w:val="5762313A"/>
    <w:rsid w:val="57DA01B8"/>
    <w:rsid w:val="57EE42BD"/>
    <w:rsid w:val="58441152"/>
    <w:rsid w:val="58D92153"/>
    <w:rsid w:val="58E02218"/>
    <w:rsid w:val="590F3DB6"/>
    <w:rsid w:val="59DB7412"/>
    <w:rsid w:val="59F57219"/>
    <w:rsid w:val="5A0E1765"/>
    <w:rsid w:val="5A50048D"/>
    <w:rsid w:val="5A6669AE"/>
    <w:rsid w:val="5ABE5DAB"/>
    <w:rsid w:val="5AE40C64"/>
    <w:rsid w:val="5B160E02"/>
    <w:rsid w:val="5B253EB4"/>
    <w:rsid w:val="5B4565CC"/>
    <w:rsid w:val="5B773940"/>
    <w:rsid w:val="5BD0717A"/>
    <w:rsid w:val="5C2612ED"/>
    <w:rsid w:val="5C537F09"/>
    <w:rsid w:val="5CA2679A"/>
    <w:rsid w:val="5CC654D6"/>
    <w:rsid w:val="5CE5683C"/>
    <w:rsid w:val="5D071808"/>
    <w:rsid w:val="5D9F39A1"/>
    <w:rsid w:val="5DEC1AEA"/>
    <w:rsid w:val="5E513A2B"/>
    <w:rsid w:val="5EA31923"/>
    <w:rsid w:val="5EF65A63"/>
    <w:rsid w:val="5F2E1A59"/>
    <w:rsid w:val="5F355E40"/>
    <w:rsid w:val="5FB16471"/>
    <w:rsid w:val="5FF4555F"/>
    <w:rsid w:val="602E78AA"/>
    <w:rsid w:val="60791F08"/>
    <w:rsid w:val="609B3C2C"/>
    <w:rsid w:val="60BE3590"/>
    <w:rsid w:val="60CA4511"/>
    <w:rsid w:val="60EC1C57"/>
    <w:rsid w:val="60EF70D1"/>
    <w:rsid w:val="61480D1A"/>
    <w:rsid w:val="614A1FA3"/>
    <w:rsid w:val="614C7653"/>
    <w:rsid w:val="61511552"/>
    <w:rsid w:val="61DB7D25"/>
    <w:rsid w:val="61E40EA8"/>
    <w:rsid w:val="61E7271D"/>
    <w:rsid w:val="62102D35"/>
    <w:rsid w:val="621A7AC0"/>
    <w:rsid w:val="625641FC"/>
    <w:rsid w:val="627C72B4"/>
    <w:rsid w:val="631F6D97"/>
    <w:rsid w:val="632B522D"/>
    <w:rsid w:val="63772FB2"/>
    <w:rsid w:val="637C5F97"/>
    <w:rsid w:val="641B6B36"/>
    <w:rsid w:val="642B3519"/>
    <w:rsid w:val="644371D5"/>
    <w:rsid w:val="64474355"/>
    <w:rsid w:val="64BB709C"/>
    <w:rsid w:val="64D626EA"/>
    <w:rsid w:val="64E14962"/>
    <w:rsid w:val="650D5DBA"/>
    <w:rsid w:val="651B533C"/>
    <w:rsid w:val="652A557F"/>
    <w:rsid w:val="65C47781"/>
    <w:rsid w:val="66015C2F"/>
    <w:rsid w:val="66A21A33"/>
    <w:rsid w:val="6764121C"/>
    <w:rsid w:val="67FA6AB8"/>
    <w:rsid w:val="68A5637B"/>
    <w:rsid w:val="68FD36D6"/>
    <w:rsid w:val="69763488"/>
    <w:rsid w:val="69AC2998"/>
    <w:rsid w:val="69BA12B6"/>
    <w:rsid w:val="6A460B26"/>
    <w:rsid w:val="6A563D9D"/>
    <w:rsid w:val="6AFA59F3"/>
    <w:rsid w:val="6B8D2095"/>
    <w:rsid w:val="6BB87037"/>
    <w:rsid w:val="6BDC08A0"/>
    <w:rsid w:val="6C0D1A47"/>
    <w:rsid w:val="6C9624D8"/>
    <w:rsid w:val="6D343AED"/>
    <w:rsid w:val="6D544FE2"/>
    <w:rsid w:val="6E414774"/>
    <w:rsid w:val="6E423939"/>
    <w:rsid w:val="6E691D52"/>
    <w:rsid w:val="6E920ECA"/>
    <w:rsid w:val="6FC26F04"/>
    <w:rsid w:val="6FCA42BB"/>
    <w:rsid w:val="6FE92498"/>
    <w:rsid w:val="700272ED"/>
    <w:rsid w:val="70144D6F"/>
    <w:rsid w:val="701B638E"/>
    <w:rsid w:val="70874483"/>
    <w:rsid w:val="70C651D1"/>
    <w:rsid w:val="710B7981"/>
    <w:rsid w:val="71530B04"/>
    <w:rsid w:val="71772EC5"/>
    <w:rsid w:val="71D376CA"/>
    <w:rsid w:val="71E746DE"/>
    <w:rsid w:val="72FE09CC"/>
    <w:rsid w:val="733A060D"/>
    <w:rsid w:val="73A56E44"/>
    <w:rsid w:val="73CF6DA2"/>
    <w:rsid w:val="740E6490"/>
    <w:rsid w:val="741D5E49"/>
    <w:rsid w:val="742A7349"/>
    <w:rsid w:val="74404040"/>
    <w:rsid w:val="74620BBB"/>
    <w:rsid w:val="74B36C31"/>
    <w:rsid w:val="74D13D31"/>
    <w:rsid w:val="75501B56"/>
    <w:rsid w:val="759450B6"/>
    <w:rsid w:val="75B0735F"/>
    <w:rsid w:val="75BF1D13"/>
    <w:rsid w:val="75CD4A34"/>
    <w:rsid w:val="75F738D1"/>
    <w:rsid w:val="767915A9"/>
    <w:rsid w:val="76E951CC"/>
    <w:rsid w:val="77727254"/>
    <w:rsid w:val="77FB27C0"/>
    <w:rsid w:val="7882008B"/>
    <w:rsid w:val="78C73BAC"/>
    <w:rsid w:val="78C8448B"/>
    <w:rsid w:val="79414063"/>
    <w:rsid w:val="79915775"/>
    <w:rsid w:val="79B80F53"/>
    <w:rsid w:val="7A262B78"/>
    <w:rsid w:val="7A9E600D"/>
    <w:rsid w:val="7ADB0794"/>
    <w:rsid w:val="7B51264E"/>
    <w:rsid w:val="7B9F5309"/>
    <w:rsid w:val="7BE176F3"/>
    <w:rsid w:val="7CE26B04"/>
    <w:rsid w:val="7D1E4EDE"/>
    <w:rsid w:val="7DE30695"/>
    <w:rsid w:val="7E275251"/>
    <w:rsid w:val="7E2F5BCE"/>
    <w:rsid w:val="7E6B00CF"/>
    <w:rsid w:val="7E6B6EDC"/>
    <w:rsid w:val="7E6D02D4"/>
    <w:rsid w:val="7E9A538E"/>
    <w:rsid w:val="7EAF2E16"/>
    <w:rsid w:val="7F9A209E"/>
    <w:rsid w:val="7FC8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Times New Roman"/>
      <w:kern w:val="0"/>
      <w:sz w:val="24"/>
      <w:szCs w:val="24"/>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page number"/>
    <w:basedOn w:val="8"/>
    <w:qFormat/>
    <w:uiPriority w:val="0"/>
  </w:style>
  <w:style w:type="character" w:customStyle="1" w:styleId="10">
    <w:name w:val="页眉 Char"/>
    <w:basedOn w:val="8"/>
    <w:link w:val="3"/>
    <w:qFormat/>
    <w:uiPriority w:val="0"/>
    <w:rPr>
      <w:rFonts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2136</Words>
  <Characters>2695</Characters>
  <Lines>9</Lines>
  <Paragraphs>2</Paragraphs>
  <TotalTime>1</TotalTime>
  <ScaleCrop>false</ScaleCrop>
  <LinksUpToDate>false</LinksUpToDate>
  <CharactersWithSpaces>2729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2024-03-20T04:43:00Z</dcterms:created>
  <dc:creator>酥</dc:creator>
  <cp:lastModifiedBy>ycx</cp:lastModifiedBy>
  <cp:lastPrinted>2020-11-05T09:06:00Z</cp:lastPrinted>
  <dcterms:modified xsi:type="dcterms:W3CDTF">2026-06-03T04:38:01Z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CAF3140F63804F58AE47543399935D38_13</vt:lpwstr>
  </property>
  <property fmtid="{D5CDD505-2E9C-101B-9397-08002B2CF9AE}" pid="4" name="KSOTemplateDocerSaveRecord">
    <vt:lpwstr>eyJoZGlkIjoiNDE3NTFiMzhhMTcyNTFhOWQxNjMzMmIzYTQ3ZjQwZGEiLCJ1c2VySWQiOiI0MjEzMTA0NjQifQ==</vt:lpwstr>
  </property>
</Properties>
</file>