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AE0770">
      <w:pPr>
        <w:pStyle w:val="3"/>
        <w:bidi w:val="0"/>
        <w:jc w:val="center"/>
        <w:rPr>
          <w:rFonts w:hint="eastAsia"/>
        </w:rPr>
      </w:pPr>
      <w:r>
        <w:rPr>
          <w:rFonts w:hint="eastAsia" w:ascii="宋体" w:hAnsi="宋体"/>
          <w:szCs w:val="21"/>
          <w:lang w:eastAsia="zh-CN"/>
        </w:rPr>
        <w:t>百江镇松村村富春民居农民公寓项目</w:t>
      </w:r>
    </w:p>
    <w:p w14:paraId="0DFBC7B6">
      <w:pPr>
        <w:tabs>
          <w:tab w:val="left" w:pos="7920"/>
        </w:tabs>
        <w:ind w:right="420" w:rightChars="200"/>
        <w:jc w:val="center"/>
        <w:rPr>
          <w:rFonts w:ascii="宋体" w:hAnsi="宋体"/>
          <w:b/>
          <w:bCs/>
          <w:color w:val="0000FF"/>
          <w:sz w:val="28"/>
          <w:szCs w:val="28"/>
        </w:rPr>
      </w:pPr>
      <w:r>
        <w:rPr>
          <w:rFonts w:hint="eastAsia" w:ascii="宋体" w:hAnsi="宋体"/>
          <w:b/>
          <w:bCs/>
          <w:sz w:val="28"/>
          <w:szCs w:val="28"/>
        </w:rPr>
        <w:t>清单编制说明</w:t>
      </w:r>
    </w:p>
    <w:p w14:paraId="38D663E4">
      <w:pPr>
        <w:numPr>
          <w:ilvl w:val="0"/>
          <w:numId w:val="1"/>
        </w:numPr>
        <w:spacing w:line="400" w:lineRule="exact"/>
        <w:rPr>
          <w:rFonts w:ascii="宋体" w:hAnsi="宋体"/>
          <w:b/>
          <w:color w:val="FF0000"/>
          <w:szCs w:val="21"/>
        </w:rPr>
      </w:pPr>
      <w:r>
        <w:rPr>
          <w:rFonts w:hint="eastAsia" w:ascii="宋体" w:hAnsi="宋体"/>
          <w:b/>
          <w:color w:val="FF0000"/>
          <w:szCs w:val="21"/>
        </w:rPr>
        <w:t>工程概况</w:t>
      </w:r>
    </w:p>
    <w:p w14:paraId="10165C88">
      <w:pPr>
        <w:spacing w:line="400" w:lineRule="exact"/>
        <w:ind w:firstLine="422" w:firstLineChars="200"/>
        <w:rPr>
          <w:rFonts w:hint="eastAsia" w:ascii="宋体" w:hAnsi="宋体"/>
          <w:szCs w:val="21"/>
        </w:rPr>
      </w:pPr>
      <w:r>
        <w:rPr>
          <w:rFonts w:hint="eastAsia" w:ascii="宋体" w:hAnsi="宋体"/>
          <w:b/>
          <w:szCs w:val="21"/>
        </w:rPr>
        <w:t>1.工程地址</w:t>
      </w:r>
      <w:r>
        <w:rPr>
          <w:rFonts w:hint="eastAsia" w:ascii="宋体" w:hAnsi="宋体"/>
          <w:szCs w:val="21"/>
        </w:rPr>
        <w:t>：</w:t>
      </w:r>
      <w:r>
        <w:rPr>
          <w:rFonts w:hint="eastAsia" w:ascii="宋体" w:hAnsi="宋体"/>
          <w:szCs w:val="21"/>
          <w:lang w:eastAsia="zh-CN"/>
        </w:rPr>
        <w:t>百江镇松村村富春民居农民公寓项目</w:t>
      </w:r>
      <w:r>
        <w:rPr>
          <w:rFonts w:hint="eastAsia" w:ascii="宋体" w:hAnsi="宋体"/>
          <w:szCs w:val="21"/>
        </w:rPr>
        <w:t>。</w:t>
      </w:r>
    </w:p>
    <w:p w14:paraId="56AE5A5F">
      <w:pPr>
        <w:spacing w:line="400" w:lineRule="exact"/>
        <w:ind w:firstLine="422" w:firstLineChars="200"/>
        <w:rPr>
          <w:rFonts w:ascii="宋体" w:hAnsi="宋体"/>
          <w:szCs w:val="21"/>
          <w:highlight w:val="yellow"/>
        </w:rPr>
      </w:pPr>
      <w:r>
        <w:rPr>
          <w:rFonts w:hint="eastAsia" w:ascii="宋体" w:hAnsi="宋体"/>
          <w:b/>
          <w:szCs w:val="21"/>
        </w:rPr>
        <w:t>2.工程特征</w:t>
      </w:r>
      <w:r>
        <w:rPr>
          <w:rFonts w:hint="eastAsia" w:ascii="宋体" w:hAnsi="宋体"/>
          <w:szCs w:val="21"/>
        </w:rPr>
        <w:t>：</w:t>
      </w:r>
      <w:r>
        <w:rPr>
          <w:rFonts w:hint="eastAsia" w:ascii="宋体" w:hAnsi="宋体"/>
          <w:szCs w:val="21"/>
          <w:lang w:val="zh-CN"/>
        </w:rPr>
        <w:t>工程内容包括地下电梯井及地上建筑等相关</w:t>
      </w:r>
      <w:r>
        <w:rPr>
          <w:rFonts w:hint="eastAsia" w:ascii="宋体" w:hAnsi="宋体"/>
          <w:szCs w:val="21"/>
          <w:lang w:val="en-US" w:eastAsia="zh-CN"/>
        </w:rPr>
        <w:t>内容</w:t>
      </w:r>
      <w:r>
        <w:rPr>
          <w:rFonts w:hint="eastAsia" w:ascii="宋体" w:hAnsi="宋体"/>
          <w:szCs w:val="21"/>
          <w:lang w:val="zh-CN"/>
        </w:rPr>
        <w:t>，不含屋顶光伏板等，具体详见工程量清单和施工图建筑檐高详见工程图纸，建筑工程抗震</w:t>
      </w:r>
      <w:r>
        <w:rPr>
          <w:rFonts w:hint="eastAsia" w:ascii="宋体" w:hAnsi="宋体"/>
          <w:szCs w:val="21"/>
          <w:lang w:eastAsia="zh-CN"/>
        </w:rPr>
        <w:t>四</w:t>
      </w:r>
      <w:r>
        <w:rPr>
          <w:rFonts w:hint="eastAsia" w:ascii="宋体" w:hAnsi="宋体"/>
          <w:szCs w:val="21"/>
          <w:lang w:val="zh-CN"/>
        </w:rPr>
        <w:t>级，抗震设防类别：丙类，结构类型为框架结构；设计合理使用年限50年；总建筑面积约</w:t>
      </w:r>
      <w:r>
        <w:rPr>
          <w:rFonts w:hint="eastAsia" w:ascii="宋体" w:hAnsi="宋体"/>
          <w:szCs w:val="21"/>
          <w:lang w:val="en-US" w:eastAsia="zh-CN"/>
        </w:rPr>
        <w:t>1925.54</w:t>
      </w:r>
      <w:r>
        <w:rPr>
          <w:rFonts w:hint="eastAsia" w:ascii="宋体" w:hAnsi="宋体"/>
          <w:szCs w:val="21"/>
          <w:lang w:val="zh-CN"/>
        </w:rPr>
        <w:t>平方米，其中地上建筑面积</w:t>
      </w:r>
      <w:r>
        <w:rPr>
          <w:rFonts w:hint="eastAsia" w:ascii="宋体" w:hAnsi="宋体"/>
          <w:szCs w:val="21"/>
          <w:lang w:val="en-US" w:eastAsia="zh-CN"/>
        </w:rPr>
        <w:t>1925.54</w:t>
      </w:r>
      <w:r>
        <w:rPr>
          <w:rFonts w:hint="eastAsia" w:ascii="宋体" w:hAnsi="宋体"/>
          <w:szCs w:val="21"/>
          <w:lang w:val="zh-CN"/>
        </w:rPr>
        <w:t>平方米，高度</w:t>
      </w:r>
      <w:r>
        <w:rPr>
          <w:rFonts w:hint="eastAsia" w:ascii="宋体" w:hAnsi="宋体"/>
          <w:szCs w:val="21"/>
          <w:lang w:val="en-US" w:eastAsia="zh-CN"/>
        </w:rPr>
        <w:t>16.6</w:t>
      </w:r>
      <w:r>
        <w:rPr>
          <w:rFonts w:hint="eastAsia" w:ascii="宋体" w:hAnsi="宋体"/>
          <w:szCs w:val="21"/>
          <w:lang w:val="zh-CN"/>
        </w:rPr>
        <w:t>米</w:t>
      </w:r>
      <w:r>
        <w:rPr>
          <w:rFonts w:hint="eastAsia" w:ascii="宋体" w:hAnsi="宋体" w:cs="Times New Roman"/>
          <w:szCs w:val="21"/>
          <w:lang w:val="zh-CN"/>
        </w:rPr>
        <w:t>，跨度最大</w:t>
      </w:r>
      <w:r>
        <w:rPr>
          <w:rFonts w:hint="eastAsia" w:ascii="宋体" w:hAnsi="宋体" w:cs="Times New Roman"/>
          <w:szCs w:val="21"/>
          <w:lang w:val="en-US" w:eastAsia="zh-CN"/>
        </w:rPr>
        <w:t>4.3</w:t>
      </w:r>
      <w:r>
        <w:rPr>
          <w:rFonts w:hint="eastAsia" w:ascii="宋体" w:hAnsi="宋体" w:cs="Times New Roman"/>
          <w:szCs w:val="21"/>
          <w:lang w:val="zh-CN"/>
        </w:rPr>
        <w:t>米，地上</w:t>
      </w:r>
      <w:r>
        <w:rPr>
          <w:rFonts w:hint="eastAsia" w:ascii="宋体" w:hAnsi="宋体" w:cs="Times New Roman"/>
          <w:szCs w:val="21"/>
          <w:lang w:val="en-US" w:eastAsia="zh-CN"/>
        </w:rPr>
        <w:t>4</w:t>
      </w:r>
      <w:r>
        <w:rPr>
          <w:rFonts w:hint="eastAsia" w:ascii="宋体" w:hAnsi="宋体" w:cs="Times New Roman"/>
          <w:szCs w:val="21"/>
          <w:lang w:val="zh-CN"/>
        </w:rPr>
        <w:t>层（不含闷层），</w:t>
      </w:r>
      <w:r>
        <w:rPr>
          <w:rFonts w:hint="eastAsia" w:ascii="宋体" w:hAnsi="宋体" w:cs="Times New Roman"/>
          <w:szCs w:val="21"/>
          <w:highlight w:val="none"/>
        </w:rPr>
        <w:t>(基坑</w:t>
      </w:r>
      <w:r>
        <w:rPr>
          <w:rFonts w:hint="eastAsia" w:ascii="宋体" w:hAnsi="宋体" w:cs="Times New Roman"/>
          <w:szCs w:val="21"/>
          <w:highlight w:val="none"/>
          <w:lang w:val="en-US" w:eastAsia="zh-CN"/>
        </w:rPr>
        <w:t>最大</w:t>
      </w:r>
      <w:r>
        <w:rPr>
          <w:rFonts w:hint="eastAsia" w:ascii="宋体" w:hAnsi="宋体" w:cs="Times New Roman"/>
          <w:szCs w:val="21"/>
          <w:highlight w:val="none"/>
        </w:rPr>
        <w:t>开挖深度</w:t>
      </w:r>
      <w:r>
        <w:rPr>
          <w:rFonts w:hint="eastAsia" w:ascii="宋体" w:hAnsi="宋体" w:cs="Times New Roman"/>
          <w:szCs w:val="21"/>
          <w:highlight w:val="none"/>
          <w:lang w:val="en-US" w:eastAsia="zh-CN"/>
        </w:rPr>
        <w:t>1.9</w:t>
      </w:r>
      <w:r>
        <w:rPr>
          <w:rFonts w:hint="eastAsia" w:ascii="宋体" w:hAnsi="宋体" w:cs="Times New Roman"/>
          <w:szCs w:val="21"/>
          <w:highlight w:val="none"/>
        </w:rPr>
        <w:t>米)</w:t>
      </w:r>
      <w:r>
        <w:rPr>
          <w:rFonts w:hint="eastAsia" w:ascii="宋体" w:hAnsi="宋体" w:cs="Times New Roman"/>
          <w:szCs w:val="21"/>
        </w:rPr>
        <w:t>；</w:t>
      </w:r>
      <w:r>
        <w:rPr>
          <w:rFonts w:hint="eastAsia" w:ascii="宋体" w:hAnsi="宋体" w:cs="Times New Roman"/>
          <w:color w:val="auto"/>
          <w:szCs w:val="21"/>
          <w:highlight w:val="none"/>
        </w:rPr>
        <w:t>水电安装包含电气工程、</w:t>
      </w:r>
      <w:r>
        <w:rPr>
          <w:rFonts w:hint="eastAsia" w:ascii="宋体" w:hAnsi="宋体" w:cs="Times New Roman"/>
          <w:color w:val="auto"/>
          <w:szCs w:val="21"/>
          <w:highlight w:val="none"/>
          <w:lang w:eastAsia="zh-CN"/>
        </w:rPr>
        <w:t>室外</w:t>
      </w:r>
      <w:r>
        <w:rPr>
          <w:rFonts w:hint="eastAsia" w:ascii="宋体" w:hAnsi="宋体" w:cs="Times New Roman"/>
          <w:color w:val="auto"/>
          <w:szCs w:val="21"/>
          <w:highlight w:val="none"/>
        </w:rPr>
        <w:t>消火栓</w:t>
      </w:r>
      <w:r>
        <w:rPr>
          <w:rFonts w:hint="eastAsia" w:ascii="宋体" w:hAnsi="宋体" w:cs="Times New Roman"/>
          <w:color w:val="auto"/>
          <w:szCs w:val="21"/>
          <w:highlight w:val="none"/>
          <w:lang w:val="zh-CN"/>
        </w:rPr>
        <w:t>工程、</w:t>
      </w:r>
      <w:r>
        <w:rPr>
          <w:rFonts w:hint="eastAsia" w:ascii="宋体" w:hAnsi="宋体" w:cs="Times New Roman"/>
          <w:color w:val="auto"/>
          <w:szCs w:val="21"/>
          <w:highlight w:val="none"/>
        </w:rPr>
        <w:t>给排水工程、</w:t>
      </w:r>
      <w:r>
        <w:rPr>
          <w:rFonts w:hint="eastAsia" w:ascii="宋体" w:hAnsi="宋体" w:cs="Times New Roman"/>
          <w:color w:val="auto"/>
          <w:szCs w:val="21"/>
          <w:highlight w:val="none"/>
          <w:lang w:val="en-US" w:eastAsia="zh-CN"/>
        </w:rPr>
        <w:t>电梯工程</w:t>
      </w:r>
      <w:r>
        <w:rPr>
          <w:rFonts w:hint="eastAsia" w:ascii="宋体" w:hAnsi="宋体" w:cs="Times New Roman"/>
          <w:color w:val="auto"/>
          <w:szCs w:val="21"/>
          <w:highlight w:val="none"/>
        </w:rPr>
        <w:t>等</w:t>
      </w:r>
      <w:r>
        <w:rPr>
          <w:rFonts w:hint="eastAsia" w:ascii="宋体" w:hAnsi="宋体" w:cs="Times New Roman"/>
          <w:color w:val="auto"/>
          <w:szCs w:val="21"/>
          <w:highlight w:val="none"/>
          <w:lang w:val="en-US" w:eastAsia="zh-CN"/>
        </w:rPr>
        <w:t>项目</w:t>
      </w:r>
      <w:r>
        <w:rPr>
          <w:rFonts w:hint="eastAsia" w:ascii="宋体" w:hAnsi="宋体" w:cs="Times New Roman"/>
          <w:color w:val="auto"/>
          <w:szCs w:val="21"/>
          <w:highlight w:val="none"/>
        </w:rPr>
        <w:t>。</w:t>
      </w:r>
    </w:p>
    <w:p w14:paraId="459E8C42">
      <w:pPr>
        <w:spacing w:line="400" w:lineRule="exact"/>
        <w:ind w:firstLine="422" w:firstLineChars="200"/>
        <w:rPr>
          <w:rFonts w:ascii="宋体" w:hAnsi="宋体"/>
          <w:szCs w:val="21"/>
        </w:rPr>
      </w:pPr>
      <w:r>
        <w:rPr>
          <w:rFonts w:hint="eastAsia" w:ascii="宋体" w:hAnsi="宋体"/>
          <w:b/>
          <w:szCs w:val="21"/>
        </w:rPr>
        <w:t>3.</w:t>
      </w:r>
      <w:r>
        <w:rPr>
          <w:rFonts w:hint="eastAsia" w:ascii="宋体" w:hAnsi="宋体"/>
          <w:b/>
          <w:szCs w:val="21"/>
          <w:lang w:val="zh-CN"/>
        </w:rPr>
        <w:t>计划工期</w:t>
      </w:r>
      <w:r>
        <w:rPr>
          <w:rFonts w:hint="eastAsia" w:ascii="宋体" w:hAnsi="宋体"/>
          <w:szCs w:val="21"/>
          <w:lang w:val="zh-CN"/>
        </w:rPr>
        <w:t>：详见招标文件；</w:t>
      </w:r>
    </w:p>
    <w:p w14:paraId="47FB30CD">
      <w:pPr>
        <w:numPr>
          <w:ilvl w:val="0"/>
          <w:numId w:val="1"/>
        </w:numPr>
        <w:spacing w:line="400" w:lineRule="exact"/>
        <w:rPr>
          <w:rFonts w:ascii="宋体" w:hAnsi="宋体"/>
          <w:b/>
          <w:color w:val="FF0000"/>
          <w:szCs w:val="21"/>
        </w:rPr>
      </w:pPr>
      <w:r>
        <w:rPr>
          <w:rFonts w:hint="eastAsia" w:ascii="宋体" w:hAnsi="宋体"/>
          <w:b/>
          <w:color w:val="FF0000"/>
          <w:szCs w:val="21"/>
        </w:rPr>
        <w:t>工程招标及分包范围：</w:t>
      </w:r>
    </w:p>
    <w:p w14:paraId="346D9478">
      <w:pPr>
        <w:spacing w:line="400" w:lineRule="exact"/>
        <w:ind w:left="420"/>
        <w:rPr>
          <w:rFonts w:ascii="宋体" w:hAnsi="宋体"/>
          <w:szCs w:val="21"/>
        </w:rPr>
      </w:pPr>
      <w:r>
        <w:rPr>
          <w:rFonts w:hint="eastAsia" w:ascii="宋体" w:hAnsi="宋体"/>
          <w:szCs w:val="21"/>
        </w:rPr>
        <w:t>（一）、招标范围：</w:t>
      </w:r>
    </w:p>
    <w:p w14:paraId="499D7522">
      <w:pPr>
        <w:spacing w:line="400" w:lineRule="exact"/>
        <w:ind w:left="420"/>
        <w:rPr>
          <w:rFonts w:ascii="宋体" w:hAnsi="宋体"/>
          <w:szCs w:val="21"/>
          <w:highlight w:val="yellow"/>
        </w:rPr>
      </w:pPr>
      <w:r>
        <w:rPr>
          <w:rFonts w:hint="eastAsia" w:ascii="宋体" w:hAnsi="宋体"/>
          <w:szCs w:val="21"/>
        </w:rPr>
        <w:t xml:space="preserve">   1、施工图范围内所有工程量（除本编制说明中注明的除外）具体内容为：地上建筑、</w:t>
      </w:r>
      <w:r>
        <w:rPr>
          <w:rFonts w:hint="eastAsia" w:ascii="宋体" w:hAnsi="宋体"/>
          <w:szCs w:val="21"/>
          <w:lang w:val="zh-CN"/>
        </w:rPr>
        <w:t>安装、</w:t>
      </w:r>
      <w:r>
        <w:rPr>
          <w:rFonts w:hint="eastAsia" w:ascii="宋体" w:hAnsi="宋体"/>
          <w:szCs w:val="21"/>
          <w:highlight w:val="none"/>
          <w:lang w:val="zh-CN"/>
        </w:rPr>
        <w:t>公共区域装修等工程</w:t>
      </w:r>
      <w:r>
        <w:rPr>
          <w:rFonts w:hint="eastAsia" w:ascii="宋体" w:hAnsi="宋体"/>
          <w:szCs w:val="21"/>
          <w:highlight w:val="none"/>
          <w:lang w:val="zh-CN" w:eastAsia="zh-CN"/>
        </w:rPr>
        <w:t>项</w:t>
      </w:r>
      <w:r>
        <w:rPr>
          <w:rFonts w:hint="eastAsia" w:ascii="宋体" w:hAnsi="宋体"/>
          <w:szCs w:val="21"/>
          <w:highlight w:val="none"/>
        </w:rPr>
        <w:t>。</w:t>
      </w:r>
    </w:p>
    <w:p w14:paraId="3D6CC9F8">
      <w:pPr>
        <w:spacing w:line="400" w:lineRule="exact"/>
        <w:ind w:left="420"/>
        <w:rPr>
          <w:rFonts w:ascii="宋体" w:hAnsi="宋体"/>
          <w:szCs w:val="21"/>
        </w:rPr>
      </w:pPr>
      <w:r>
        <w:rPr>
          <w:rFonts w:hint="eastAsia" w:ascii="宋体" w:hAnsi="宋体"/>
          <w:szCs w:val="21"/>
        </w:rPr>
        <w:t>（二）、分包范围：</w:t>
      </w:r>
    </w:p>
    <w:p w14:paraId="7E35D3FF">
      <w:pPr>
        <w:spacing w:line="400" w:lineRule="exact"/>
        <w:ind w:left="420"/>
        <w:rPr>
          <w:rFonts w:ascii="宋体" w:hAnsi="宋体"/>
          <w:szCs w:val="21"/>
        </w:rPr>
      </w:pPr>
      <w:r>
        <w:rPr>
          <w:rFonts w:hint="eastAsia" w:ascii="宋体" w:hAnsi="宋体"/>
          <w:szCs w:val="21"/>
        </w:rPr>
        <w:t xml:space="preserve">   1、详见招标文件。</w:t>
      </w:r>
    </w:p>
    <w:p w14:paraId="114760A0">
      <w:pPr>
        <w:numPr>
          <w:ilvl w:val="0"/>
          <w:numId w:val="1"/>
        </w:numPr>
        <w:spacing w:line="400" w:lineRule="exact"/>
        <w:rPr>
          <w:rFonts w:ascii="宋体" w:hAnsi="宋体"/>
          <w:b/>
          <w:color w:val="FF0000"/>
          <w:szCs w:val="21"/>
        </w:rPr>
      </w:pPr>
      <w:r>
        <w:rPr>
          <w:rFonts w:ascii="宋体" w:hAnsi="宋体"/>
          <w:b/>
          <w:color w:val="FF0000"/>
          <w:szCs w:val="21"/>
        </w:rPr>
        <w:t>工程量清单</w:t>
      </w:r>
      <w:r>
        <w:rPr>
          <w:rFonts w:hint="eastAsia" w:ascii="宋体" w:hAnsi="宋体"/>
          <w:b/>
          <w:color w:val="FF0000"/>
          <w:szCs w:val="21"/>
        </w:rPr>
        <w:t>（招标控制价）</w:t>
      </w:r>
      <w:r>
        <w:rPr>
          <w:rFonts w:ascii="宋体" w:hAnsi="宋体"/>
          <w:b/>
          <w:color w:val="FF0000"/>
          <w:szCs w:val="21"/>
        </w:rPr>
        <w:t>编制依据：</w:t>
      </w:r>
    </w:p>
    <w:p w14:paraId="653A88C7">
      <w:pPr>
        <w:numPr>
          <w:ilvl w:val="0"/>
          <w:numId w:val="2"/>
        </w:numPr>
        <w:tabs>
          <w:tab w:val="clear" w:pos="1140"/>
        </w:tabs>
        <w:spacing w:line="400" w:lineRule="exact"/>
        <w:ind w:left="1060" w:right="-420" w:rightChars="-200"/>
        <w:rPr>
          <w:rFonts w:ascii="宋体" w:hAnsi="宋体"/>
          <w:szCs w:val="21"/>
        </w:rPr>
      </w:pPr>
      <w:r>
        <w:rPr>
          <w:rFonts w:hint="eastAsia" w:ascii="宋体" w:hAnsi="宋体"/>
          <w:szCs w:val="21"/>
        </w:rPr>
        <w:t xml:space="preserve"> 《建设工程工程量清单计价规范（GB50500－2013）》</w:t>
      </w:r>
    </w:p>
    <w:p w14:paraId="2D0D214E">
      <w:pPr>
        <w:numPr>
          <w:ilvl w:val="0"/>
          <w:numId w:val="2"/>
        </w:numPr>
        <w:spacing w:line="400" w:lineRule="exact"/>
        <w:rPr>
          <w:rFonts w:ascii="宋体" w:hAnsi="宋体"/>
          <w:szCs w:val="21"/>
        </w:rPr>
      </w:pPr>
      <w:r>
        <w:rPr>
          <w:rFonts w:hint="eastAsia" w:ascii="宋体" w:hAnsi="宋体"/>
          <w:szCs w:val="21"/>
        </w:rPr>
        <w:t>《建设工程工程量计算规范（2013）浙江省补充规定》（浙建站计（2013）63号文件）</w:t>
      </w:r>
    </w:p>
    <w:p w14:paraId="55BB6DD0">
      <w:pPr>
        <w:numPr>
          <w:ilvl w:val="0"/>
          <w:numId w:val="2"/>
        </w:numPr>
        <w:spacing w:line="400" w:lineRule="exact"/>
        <w:rPr>
          <w:rFonts w:ascii="宋体" w:hAnsi="宋体"/>
          <w:szCs w:val="21"/>
        </w:rPr>
      </w:pPr>
      <w:r>
        <w:rPr>
          <w:rFonts w:hint="eastAsia" w:ascii="宋体" w:hAnsi="宋体"/>
          <w:szCs w:val="21"/>
        </w:rPr>
        <w:t>《建设工程工程量计算规范（2013）浙江省补充规定（二）》（浙建站计（2014）31号文件）</w:t>
      </w:r>
    </w:p>
    <w:p w14:paraId="3660AA3D">
      <w:pPr>
        <w:numPr>
          <w:ilvl w:val="0"/>
          <w:numId w:val="2"/>
        </w:numPr>
        <w:spacing w:line="400" w:lineRule="exact"/>
        <w:rPr>
          <w:rFonts w:ascii="宋体" w:hAnsi="宋体"/>
          <w:szCs w:val="21"/>
        </w:rPr>
      </w:pPr>
      <w:r>
        <w:rPr>
          <w:rFonts w:hint="eastAsia" w:ascii="宋体" w:hAnsi="宋体"/>
          <w:szCs w:val="21"/>
        </w:rPr>
        <w:t>《浙江省建设工程计价规则（2018版）》</w:t>
      </w:r>
    </w:p>
    <w:p w14:paraId="70831DCB">
      <w:pPr>
        <w:numPr>
          <w:ilvl w:val="0"/>
          <w:numId w:val="2"/>
        </w:numPr>
        <w:spacing w:line="400" w:lineRule="exact"/>
        <w:rPr>
          <w:rFonts w:ascii="宋体" w:hAnsi="宋体"/>
          <w:szCs w:val="21"/>
        </w:rPr>
      </w:pPr>
      <w:r>
        <w:rPr>
          <w:rFonts w:hint="eastAsia" w:ascii="宋体" w:hAnsi="宋体"/>
          <w:szCs w:val="21"/>
        </w:rPr>
        <w:t>《</w:t>
      </w:r>
      <w:r>
        <w:rPr>
          <w:rFonts w:ascii="宋体" w:hAnsi="宋体"/>
          <w:szCs w:val="21"/>
        </w:rPr>
        <w:t>关于</w:t>
      </w:r>
      <w:r>
        <w:rPr>
          <w:rFonts w:hint="eastAsia" w:ascii="宋体" w:hAnsi="宋体"/>
          <w:szCs w:val="21"/>
        </w:rPr>
        <w:t>规范杭州市建设工程工程量清单计价表式的通知》（杭建造价投资办[2010]42号）。</w:t>
      </w:r>
    </w:p>
    <w:p w14:paraId="52F1E2B8">
      <w:pPr>
        <w:numPr>
          <w:ilvl w:val="0"/>
          <w:numId w:val="2"/>
        </w:numPr>
        <w:spacing w:line="400" w:lineRule="exact"/>
        <w:rPr>
          <w:rFonts w:ascii="宋体" w:hAnsi="宋体"/>
          <w:szCs w:val="21"/>
        </w:rPr>
      </w:pPr>
      <w:r>
        <w:rPr>
          <w:rFonts w:hint="eastAsia" w:ascii="宋体" w:hAnsi="宋体"/>
          <w:szCs w:val="21"/>
        </w:rPr>
        <w:t>《关于印发&lt;杭州市建设工程工程量清单计价实施细则（2013修订）&gt;的通知》，（杭建市发 [2014]402号）</w:t>
      </w:r>
    </w:p>
    <w:p w14:paraId="4E74AD2E">
      <w:pPr>
        <w:numPr>
          <w:ilvl w:val="0"/>
          <w:numId w:val="2"/>
        </w:numPr>
        <w:spacing w:line="400" w:lineRule="exact"/>
        <w:rPr>
          <w:rFonts w:hint="eastAsia" w:ascii="宋体" w:hAnsi="宋体"/>
          <w:szCs w:val="21"/>
        </w:rPr>
      </w:pPr>
      <w:r>
        <w:rPr>
          <w:rFonts w:hint="eastAsia" w:ascii="宋体" w:hAnsi="宋体"/>
          <w:szCs w:val="21"/>
        </w:rPr>
        <w:t>《浙江省建筑工程预算定额2018版》、《浙江省园林绿化及仿古工程预算定额2018版》、《浙江省建设工程施工费用定额2018版》、《浙江省市政工程预算定额（2018版）》、《浙江省通用安装工程预算定额（2018版）》；</w:t>
      </w:r>
    </w:p>
    <w:p w14:paraId="75BFAF93">
      <w:pPr>
        <w:numPr>
          <w:ilvl w:val="0"/>
          <w:numId w:val="2"/>
        </w:numPr>
        <w:spacing w:line="400" w:lineRule="exact"/>
        <w:rPr>
          <w:rFonts w:hint="eastAsia" w:ascii="宋体" w:hAnsi="宋体"/>
          <w:szCs w:val="21"/>
        </w:rPr>
      </w:pPr>
      <w:r>
        <w:rPr>
          <w:rFonts w:hint="eastAsia" w:ascii="宋体" w:hAnsi="宋体"/>
          <w:szCs w:val="21"/>
        </w:rPr>
        <w:t>《浙江省建设工程施工机械台班费用定额（2018版）》</w:t>
      </w:r>
    </w:p>
    <w:p w14:paraId="7B727759">
      <w:pPr>
        <w:numPr>
          <w:ilvl w:val="0"/>
          <w:numId w:val="2"/>
        </w:numPr>
        <w:spacing w:line="400" w:lineRule="exact"/>
        <w:rPr>
          <w:rFonts w:ascii="宋体" w:hAnsi="宋体"/>
          <w:szCs w:val="21"/>
        </w:rPr>
      </w:pPr>
      <w:r>
        <w:rPr>
          <w:rFonts w:hint="eastAsia" w:ascii="宋体" w:hAnsi="宋体"/>
          <w:szCs w:val="21"/>
        </w:rPr>
        <w:t>《</w:t>
      </w:r>
      <w:r>
        <w:rPr>
          <w:rFonts w:ascii="宋体" w:hAnsi="宋体"/>
          <w:szCs w:val="21"/>
        </w:rPr>
        <w:t>关于建筑业实施营改增后浙江省建设工程计价规则调整的通知</w:t>
      </w:r>
      <w:r>
        <w:rPr>
          <w:rFonts w:hint="eastAsia" w:ascii="宋体" w:hAnsi="宋体"/>
          <w:szCs w:val="21"/>
        </w:rPr>
        <w:t>》【</w:t>
      </w:r>
      <w:r>
        <w:rPr>
          <w:rFonts w:ascii="宋体" w:hAnsi="宋体"/>
          <w:szCs w:val="21"/>
        </w:rPr>
        <w:t>建建发[2016]144号</w:t>
      </w:r>
      <w:r>
        <w:rPr>
          <w:rFonts w:hint="eastAsia" w:ascii="宋体" w:hAnsi="宋体"/>
          <w:szCs w:val="21"/>
        </w:rPr>
        <w:t>】</w:t>
      </w:r>
    </w:p>
    <w:p w14:paraId="625A2DA6">
      <w:pPr>
        <w:numPr>
          <w:ilvl w:val="0"/>
          <w:numId w:val="2"/>
        </w:numPr>
        <w:spacing w:line="400" w:lineRule="exact"/>
        <w:rPr>
          <w:rFonts w:ascii="宋体" w:hAnsi="宋体"/>
          <w:szCs w:val="21"/>
        </w:rPr>
      </w:pPr>
      <w:r>
        <w:rPr>
          <w:rFonts w:ascii="宋体" w:hAnsi="宋体"/>
          <w:szCs w:val="21"/>
        </w:rPr>
        <w:t>《关于调整浙江省建设工程造价税金费率的通知》</w:t>
      </w:r>
      <w:r>
        <w:rPr>
          <w:rFonts w:hint="eastAsia" w:ascii="宋体" w:hAnsi="宋体"/>
          <w:szCs w:val="21"/>
        </w:rPr>
        <w:t>【</w:t>
      </w:r>
      <w:r>
        <w:rPr>
          <w:rFonts w:ascii="宋体" w:hAnsi="宋体"/>
          <w:szCs w:val="21"/>
        </w:rPr>
        <w:t>杭建造价投资办[2016]28号</w:t>
      </w:r>
      <w:r>
        <w:rPr>
          <w:rFonts w:hint="eastAsia" w:ascii="宋体" w:hAnsi="宋体"/>
          <w:szCs w:val="21"/>
        </w:rPr>
        <w:t>】</w:t>
      </w:r>
    </w:p>
    <w:p w14:paraId="3C25B67D">
      <w:pPr>
        <w:numPr>
          <w:ilvl w:val="0"/>
          <w:numId w:val="2"/>
        </w:numPr>
        <w:spacing w:line="400" w:lineRule="exact"/>
        <w:rPr>
          <w:rFonts w:ascii="宋体" w:hAnsi="宋体"/>
          <w:szCs w:val="21"/>
        </w:rPr>
      </w:pPr>
      <w:r>
        <w:rPr>
          <w:rFonts w:ascii="宋体" w:hAnsi="宋体"/>
          <w:szCs w:val="21"/>
        </w:rPr>
        <w:t>《关于发布营改增后浙江省建设工程施工取费费率的通知》</w:t>
      </w:r>
      <w:r>
        <w:rPr>
          <w:rFonts w:hint="eastAsia" w:ascii="宋体" w:hAnsi="宋体"/>
          <w:szCs w:val="21"/>
        </w:rPr>
        <w:t>【</w:t>
      </w:r>
      <w:r>
        <w:rPr>
          <w:rFonts w:ascii="宋体" w:hAnsi="宋体"/>
          <w:szCs w:val="21"/>
        </w:rPr>
        <w:t>杭建造价投资办[2016]23号</w:t>
      </w:r>
      <w:r>
        <w:rPr>
          <w:rFonts w:hint="eastAsia" w:ascii="宋体" w:hAnsi="宋体"/>
          <w:szCs w:val="21"/>
        </w:rPr>
        <w:t>】</w:t>
      </w:r>
    </w:p>
    <w:p w14:paraId="485BE645">
      <w:pPr>
        <w:numPr>
          <w:ilvl w:val="0"/>
          <w:numId w:val="2"/>
        </w:numPr>
        <w:spacing w:line="400" w:lineRule="exact"/>
        <w:rPr>
          <w:rFonts w:ascii="宋体" w:hAnsi="宋体"/>
          <w:szCs w:val="21"/>
        </w:rPr>
      </w:pPr>
      <w:r>
        <w:rPr>
          <w:rFonts w:hint="eastAsia" w:ascii="宋体" w:hAnsi="宋体"/>
          <w:szCs w:val="21"/>
        </w:rPr>
        <w:t>《</w:t>
      </w:r>
      <w:r>
        <w:rPr>
          <w:rFonts w:ascii="宋体" w:hAnsi="宋体"/>
          <w:szCs w:val="21"/>
        </w:rPr>
        <w:t>关于发布营改增后浙江省建设工程施工取费费率的通知</w:t>
      </w:r>
      <w:r>
        <w:rPr>
          <w:rFonts w:hint="eastAsia" w:ascii="宋体" w:hAnsi="宋体"/>
          <w:szCs w:val="21"/>
        </w:rPr>
        <w:t>》【</w:t>
      </w:r>
      <w:r>
        <w:rPr>
          <w:rFonts w:ascii="宋体" w:hAnsi="宋体"/>
          <w:szCs w:val="21"/>
        </w:rPr>
        <w:t>浙建站定[2016]23号</w:t>
      </w:r>
      <w:r>
        <w:rPr>
          <w:rFonts w:hint="eastAsia" w:ascii="宋体" w:hAnsi="宋体"/>
          <w:szCs w:val="21"/>
        </w:rPr>
        <w:t>】</w:t>
      </w:r>
    </w:p>
    <w:p w14:paraId="5066F2E7">
      <w:pPr>
        <w:numPr>
          <w:ilvl w:val="0"/>
          <w:numId w:val="2"/>
        </w:numPr>
        <w:spacing w:line="400" w:lineRule="exact"/>
        <w:rPr>
          <w:rFonts w:ascii="宋体" w:hAnsi="宋体"/>
          <w:szCs w:val="21"/>
        </w:rPr>
      </w:pPr>
      <w:r>
        <w:rPr>
          <w:rFonts w:hint="eastAsia" w:ascii="宋体" w:hAnsi="宋体"/>
          <w:szCs w:val="21"/>
        </w:rPr>
        <w:t>《</w:t>
      </w:r>
      <w:r>
        <w:rPr>
          <w:rFonts w:ascii="宋体" w:hAnsi="宋体"/>
          <w:szCs w:val="21"/>
        </w:rPr>
        <w:t>关于进一步加强杭州市建设工程安全文明施工费计取管理规定的通知</w:t>
      </w:r>
      <w:r>
        <w:rPr>
          <w:rFonts w:hint="eastAsia" w:ascii="宋体" w:hAnsi="宋体"/>
          <w:szCs w:val="21"/>
        </w:rPr>
        <w:t>》【</w:t>
      </w:r>
      <w:r>
        <w:rPr>
          <w:rFonts w:ascii="宋体" w:hAnsi="宋体"/>
          <w:szCs w:val="21"/>
        </w:rPr>
        <w:t>杭建市[2016]25号</w:t>
      </w:r>
      <w:r>
        <w:rPr>
          <w:rFonts w:hint="eastAsia" w:ascii="宋体" w:hAnsi="宋体"/>
          <w:szCs w:val="21"/>
        </w:rPr>
        <w:t>】</w:t>
      </w:r>
    </w:p>
    <w:p w14:paraId="17A64BEC">
      <w:pPr>
        <w:numPr>
          <w:ilvl w:val="0"/>
          <w:numId w:val="2"/>
        </w:numPr>
        <w:spacing w:line="400" w:lineRule="exact"/>
        <w:rPr>
          <w:rFonts w:ascii="宋体" w:hAnsi="宋体"/>
          <w:szCs w:val="21"/>
        </w:rPr>
      </w:pPr>
      <w:r>
        <w:rPr>
          <w:rFonts w:hint="eastAsia" w:ascii="宋体" w:hAnsi="宋体"/>
          <w:szCs w:val="21"/>
        </w:rPr>
        <w:t>《关于规范建设工程安全文明施工费计取的通知》【建建发[2015]517号】</w:t>
      </w:r>
    </w:p>
    <w:p w14:paraId="5DFD6978">
      <w:pPr>
        <w:numPr>
          <w:ilvl w:val="0"/>
          <w:numId w:val="2"/>
        </w:numPr>
        <w:spacing w:line="400" w:lineRule="exact"/>
        <w:rPr>
          <w:rFonts w:ascii="宋体" w:hAnsi="宋体"/>
          <w:szCs w:val="21"/>
        </w:rPr>
      </w:pPr>
      <w:r>
        <w:rPr>
          <w:rFonts w:hint="eastAsia" w:ascii="宋体" w:hAnsi="宋体"/>
          <w:szCs w:val="21"/>
        </w:rPr>
        <w:t>建设工程设计文件；</w:t>
      </w:r>
    </w:p>
    <w:p w14:paraId="0AF13D74">
      <w:pPr>
        <w:numPr>
          <w:ilvl w:val="0"/>
          <w:numId w:val="2"/>
        </w:numPr>
        <w:spacing w:line="400" w:lineRule="exact"/>
        <w:rPr>
          <w:rFonts w:ascii="宋体" w:hAnsi="宋体"/>
          <w:szCs w:val="21"/>
        </w:rPr>
      </w:pPr>
      <w:r>
        <w:rPr>
          <w:rFonts w:ascii="宋体" w:hAnsi="宋体"/>
          <w:szCs w:val="21"/>
        </w:rPr>
        <w:t>与建设工程项目有关的标准、规范、技术资料</w:t>
      </w:r>
      <w:r>
        <w:rPr>
          <w:rFonts w:hint="eastAsia" w:ascii="宋体" w:hAnsi="宋体"/>
          <w:szCs w:val="21"/>
        </w:rPr>
        <w:t>；</w:t>
      </w:r>
    </w:p>
    <w:p w14:paraId="20BA9189">
      <w:pPr>
        <w:numPr>
          <w:ilvl w:val="0"/>
          <w:numId w:val="2"/>
        </w:numPr>
        <w:spacing w:line="400" w:lineRule="exact"/>
        <w:rPr>
          <w:rFonts w:ascii="宋体" w:hAnsi="宋体"/>
          <w:szCs w:val="21"/>
        </w:rPr>
      </w:pPr>
      <w:r>
        <w:rPr>
          <w:rFonts w:ascii="宋体" w:hAnsi="宋体"/>
          <w:szCs w:val="21"/>
        </w:rPr>
        <w:t>常规</w:t>
      </w:r>
      <w:r>
        <w:rPr>
          <w:rFonts w:hint="eastAsia" w:ascii="宋体" w:hAnsi="宋体"/>
          <w:szCs w:val="21"/>
        </w:rPr>
        <w:t>的</w:t>
      </w:r>
      <w:r>
        <w:rPr>
          <w:rFonts w:ascii="宋体" w:hAnsi="宋体"/>
          <w:szCs w:val="21"/>
        </w:rPr>
        <w:t>施工</w:t>
      </w:r>
      <w:r>
        <w:rPr>
          <w:rFonts w:hint="eastAsia" w:ascii="宋体" w:hAnsi="宋体"/>
          <w:szCs w:val="21"/>
        </w:rPr>
        <w:t>组织设计或施工</w:t>
      </w:r>
      <w:r>
        <w:rPr>
          <w:rFonts w:ascii="宋体" w:hAnsi="宋体"/>
          <w:szCs w:val="21"/>
        </w:rPr>
        <w:t>方案</w:t>
      </w:r>
      <w:r>
        <w:rPr>
          <w:rFonts w:hint="eastAsia" w:ascii="宋体" w:hAnsi="宋体"/>
          <w:szCs w:val="21"/>
        </w:rPr>
        <w:t>；</w:t>
      </w:r>
    </w:p>
    <w:p w14:paraId="1271CA59">
      <w:pPr>
        <w:numPr>
          <w:ilvl w:val="0"/>
          <w:numId w:val="2"/>
        </w:numPr>
        <w:spacing w:line="400" w:lineRule="exact"/>
        <w:rPr>
          <w:rFonts w:ascii="宋体" w:hAnsi="宋体"/>
          <w:szCs w:val="21"/>
        </w:rPr>
      </w:pPr>
      <w:r>
        <w:rPr>
          <w:rFonts w:hint="eastAsia" w:ascii="宋体" w:hAnsi="宋体"/>
          <w:szCs w:val="21"/>
          <w:lang w:val="zh-CN"/>
        </w:rPr>
        <w:t>工程造价管理机构发布的价格信息：《杭州造价信息》202</w:t>
      </w:r>
      <w:r>
        <w:rPr>
          <w:rFonts w:hint="eastAsia" w:ascii="宋体" w:hAnsi="宋体"/>
          <w:szCs w:val="21"/>
          <w:lang w:val="en-US" w:eastAsia="zh-CN"/>
        </w:rPr>
        <w:t>5</w:t>
      </w:r>
      <w:r>
        <w:rPr>
          <w:rFonts w:hint="eastAsia" w:ascii="宋体" w:hAnsi="宋体"/>
          <w:szCs w:val="21"/>
          <w:lang w:val="zh-CN"/>
        </w:rPr>
        <w:t>年桐庐</w:t>
      </w:r>
      <w:r>
        <w:rPr>
          <w:rFonts w:hint="eastAsia" w:ascii="宋体" w:hAnsi="宋体"/>
          <w:szCs w:val="21"/>
          <w:lang w:val="en-US" w:eastAsia="zh-CN"/>
        </w:rPr>
        <w:t>11</w:t>
      </w:r>
      <w:r>
        <w:rPr>
          <w:rFonts w:hint="eastAsia" w:ascii="宋体" w:hAnsi="宋体"/>
          <w:szCs w:val="21"/>
        </w:rPr>
        <w:t>月份信息价</w:t>
      </w:r>
      <w:r>
        <w:rPr>
          <w:rFonts w:hint="eastAsia" w:ascii="宋体" w:hAnsi="宋体"/>
          <w:szCs w:val="21"/>
          <w:lang w:val="zh-CN"/>
        </w:rPr>
        <w:t>、《浙江造价信息》202</w:t>
      </w:r>
      <w:r>
        <w:rPr>
          <w:rFonts w:hint="eastAsia" w:ascii="宋体" w:hAnsi="宋体"/>
          <w:szCs w:val="21"/>
          <w:lang w:val="en-US" w:eastAsia="zh-CN"/>
        </w:rPr>
        <w:t>5</w:t>
      </w:r>
      <w:r>
        <w:rPr>
          <w:rFonts w:hint="eastAsia" w:ascii="宋体" w:hAnsi="宋体"/>
          <w:szCs w:val="21"/>
          <w:lang w:val="zh-CN"/>
        </w:rPr>
        <w:t>年</w:t>
      </w:r>
      <w:r>
        <w:rPr>
          <w:rFonts w:hint="eastAsia" w:ascii="宋体" w:hAnsi="宋体"/>
          <w:szCs w:val="21"/>
          <w:lang w:val="en-US" w:eastAsia="zh-CN"/>
        </w:rPr>
        <w:t>11</w:t>
      </w:r>
      <w:r>
        <w:rPr>
          <w:rFonts w:hint="eastAsia" w:ascii="宋体" w:hAnsi="宋体"/>
          <w:szCs w:val="21"/>
        </w:rPr>
        <w:t>月份信息价</w:t>
      </w:r>
      <w:r>
        <w:rPr>
          <w:rFonts w:hint="eastAsia" w:ascii="宋体" w:hAnsi="宋体"/>
          <w:szCs w:val="21"/>
          <w:lang w:val="zh-CN"/>
        </w:rPr>
        <w:t>；无信息价的，参照市场价</w:t>
      </w:r>
      <w:r>
        <w:rPr>
          <w:rFonts w:hint="eastAsia" w:ascii="宋体" w:hAnsi="宋体"/>
          <w:szCs w:val="21"/>
        </w:rPr>
        <w:t>；</w:t>
      </w:r>
    </w:p>
    <w:p w14:paraId="1ADF4BC9">
      <w:pPr>
        <w:numPr>
          <w:ilvl w:val="0"/>
          <w:numId w:val="2"/>
        </w:numPr>
        <w:spacing w:line="400" w:lineRule="exact"/>
        <w:rPr>
          <w:rFonts w:ascii="宋体" w:hAnsi="宋体"/>
          <w:szCs w:val="21"/>
        </w:rPr>
      </w:pPr>
      <w:r>
        <w:rPr>
          <w:rFonts w:hint="eastAsia" w:ascii="宋体" w:hAnsi="宋体"/>
          <w:szCs w:val="21"/>
        </w:rPr>
        <w:t>其他相关资料：</w:t>
      </w:r>
    </w:p>
    <w:p w14:paraId="0ABFE5BC">
      <w:pPr>
        <w:numPr>
          <w:ilvl w:val="0"/>
          <w:numId w:val="1"/>
        </w:numPr>
        <w:spacing w:line="400" w:lineRule="exact"/>
        <w:rPr>
          <w:rFonts w:ascii="宋体" w:hAnsi="宋体"/>
          <w:szCs w:val="21"/>
        </w:rPr>
      </w:pPr>
      <w:r>
        <w:rPr>
          <w:rFonts w:hint="eastAsia" w:ascii="宋体" w:hAnsi="宋体"/>
          <w:b/>
          <w:color w:val="FF0000"/>
          <w:szCs w:val="21"/>
        </w:rPr>
        <w:t>工程质量、工期、材料、施工等要求：</w:t>
      </w:r>
      <w:r>
        <w:rPr>
          <w:rFonts w:hint="eastAsia" w:ascii="宋体" w:hAnsi="宋体"/>
          <w:szCs w:val="21"/>
        </w:rPr>
        <w:t>按招标文件。</w:t>
      </w:r>
    </w:p>
    <w:p w14:paraId="69F461D4">
      <w:pPr>
        <w:numPr>
          <w:ilvl w:val="0"/>
          <w:numId w:val="1"/>
        </w:numPr>
        <w:spacing w:line="400" w:lineRule="exact"/>
        <w:rPr>
          <w:rFonts w:ascii="宋体" w:hAnsi="宋体"/>
          <w:szCs w:val="21"/>
        </w:rPr>
      </w:pPr>
      <w:r>
        <w:rPr>
          <w:rFonts w:hint="eastAsia" w:ascii="宋体" w:hAnsi="宋体"/>
          <w:b/>
          <w:color w:val="FF0000"/>
          <w:szCs w:val="21"/>
        </w:rPr>
        <w:t>取费说明：</w:t>
      </w:r>
    </w:p>
    <w:p w14:paraId="6ACA0597">
      <w:pPr>
        <w:spacing w:line="400" w:lineRule="exact"/>
        <w:rPr>
          <w:rFonts w:ascii="宋体" w:hAnsi="宋体"/>
          <w:b/>
          <w:szCs w:val="21"/>
        </w:rPr>
      </w:pPr>
      <w:r>
        <w:rPr>
          <w:rFonts w:hint="eastAsia" w:ascii="宋体" w:hAnsi="宋体"/>
          <w:b/>
          <w:szCs w:val="21"/>
        </w:rPr>
        <w:t xml:space="preserve">  （一） 招标控制价取费说明</w:t>
      </w:r>
    </w:p>
    <w:p w14:paraId="591FCEE7">
      <w:pPr>
        <w:spacing w:line="400" w:lineRule="exact"/>
        <w:ind w:firstLine="525" w:firstLineChars="250"/>
        <w:rPr>
          <w:rFonts w:hint="eastAsia" w:ascii="宋体" w:hAnsi="宋体" w:cs="ËÎÌå"/>
          <w:kern w:val="0"/>
          <w:szCs w:val="21"/>
        </w:rPr>
      </w:pPr>
      <w:r>
        <w:rPr>
          <w:rFonts w:hint="eastAsia" w:ascii="宋体" w:hAnsi="宋体"/>
          <w:bCs/>
          <w:szCs w:val="21"/>
        </w:rPr>
        <w:t xml:space="preserve"> 1、按相关规定取中值计取。</w:t>
      </w:r>
    </w:p>
    <w:p w14:paraId="2156440F">
      <w:pPr>
        <w:spacing w:line="400" w:lineRule="exact"/>
        <w:ind w:firstLine="630" w:firstLineChars="300"/>
        <w:rPr>
          <w:rFonts w:hint="eastAsia" w:ascii="宋体" w:hAnsi="宋体"/>
          <w:b/>
          <w:color w:val="FF0000"/>
          <w:szCs w:val="21"/>
        </w:rPr>
      </w:pPr>
      <w:r>
        <w:rPr>
          <w:rFonts w:hint="eastAsia" w:ascii="宋体" w:hAnsi="宋体"/>
          <w:bCs/>
          <w:szCs w:val="21"/>
          <w:lang w:val="en-US" w:eastAsia="zh-CN"/>
        </w:rPr>
        <w:t>2</w:t>
      </w:r>
      <w:r>
        <w:rPr>
          <w:rFonts w:hint="eastAsia" w:ascii="宋体" w:hAnsi="宋体"/>
          <w:bCs/>
          <w:szCs w:val="21"/>
        </w:rPr>
        <w:t>、税金按9%计取。</w:t>
      </w:r>
    </w:p>
    <w:p w14:paraId="0BF0FEC0">
      <w:pPr>
        <w:pStyle w:val="8"/>
        <w:widowControl/>
        <w:spacing w:before="0" w:beforeAutospacing="0" w:after="0" w:afterAutospacing="0" w:line="360" w:lineRule="auto"/>
        <w:ind w:firstLine="630" w:firstLineChars="300"/>
        <w:rPr>
          <w:rFonts w:hint="eastAsia"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3、土建部分：规费费率为25.78%，税金费率取9.00%，管理费及利润分别为16.9%和8.1%.</w:t>
      </w:r>
    </w:p>
    <w:p w14:paraId="0E478927">
      <w:pPr>
        <w:pStyle w:val="8"/>
        <w:widowControl/>
        <w:spacing w:before="0" w:beforeAutospacing="0" w:after="0" w:afterAutospacing="0" w:line="360" w:lineRule="auto"/>
        <w:ind w:firstLine="630" w:firstLineChars="300"/>
        <w:rPr>
          <w:rFonts w:hint="eastAsia" w:ascii="宋体" w:hAnsi="宋体" w:eastAsia="宋体" w:cs="宋体"/>
        </w:rPr>
      </w:pPr>
      <w:r>
        <w:rPr>
          <w:rFonts w:hint="eastAsia" w:ascii="宋体" w:hAnsi="宋体" w:eastAsia="宋体" w:cs="Times New Roman"/>
          <w:bCs/>
          <w:kern w:val="2"/>
          <w:sz w:val="21"/>
          <w:szCs w:val="21"/>
          <w:lang w:val="en-US" w:eastAsia="zh-CN" w:bidi="ar-SA"/>
        </w:rPr>
        <w:t>4、安装部分：规费费率为30.63%，税金费率取9.00%，管理费及利润分别为22.05%和</w:t>
      </w:r>
      <w:r>
        <w:rPr>
          <w:rFonts w:hint="eastAsia" w:ascii="宋体" w:hAnsi="宋体" w:eastAsia="宋体" w:cs="宋体"/>
          <w:lang w:val="en-US" w:eastAsia="zh-CN"/>
        </w:rPr>
        <w:t>10.4</w:t>
      </w:r>
      <w:r>
        <w:rPr>
          <w:rFonts w:hint="eastAsia" w:ascii="宋体" w:hAnsi="宋体" w:eastAsia="宋体" w:cs="宋体"/>
        </w:rPr>
        <w:t>%.</w:t>
      </w:r>
    </w:p>
    <w:p w14:paraId="6E866E8A">
      <w:pPr>
        <w:spacing w:line="400" w:lineRule="exact"/>
        <w:rPr>
          <w:rFonts w:ascii="宋体" w:hAnsi="宋体"/>
          <w:b/>
          <w:color w:val="FF0000"/>
          <w:szCs w:val="21"/>
        </w:rPr>
      </w:pPr>
      <w:r>
        <w:rPr>
          <w:rFonts w:hint="eastAsia" w:ascii="宋体" w:hAnsi="宋体"/>
          <w:b/>
          <w:color w:val="FF0000"/>
          <w:szCs w:val="21"/>
        </w:rPr>
        <w:t>九、其它相关说明：</w:t>
      </w:r>
    </w:p>
    <w:p w14:paraId="10F2D348">
      <w:pPr>
        <w:spacing w:line="400" w:lineRule="exact"/>
        <w:jc w:val="left"/>
        <w:rPr>
          <w:rFonts w:hint="eastAsia" w:ascii="宋体" w:hAnsi="宋体"/>
          <w:szCs w:val="21"/>
          <w:lang w:val="zh-CN"/>
        </w:rPr>
      </w:pPr>
      <w:r>
        <w:rPr>
          <w:rFonts w:hint="eastAsia" w:ascii="宋体" w:hAnsi="宋体"/>
          <w:szCs w:val="21"/>
          <w:lang w:val="zh-CN"/>
        </w:rPr>
        <w:t>（一） 总说明</w:t>
      </w:r>
    </w:p>
    <w:p w14:paraId="63EDFB49">
      <w:pPr>
        <w:spacing w:line="400" w:lineRule="exact"/>
        <w:ind w:firstLine="630" w:firstLineChars="300"/>
        <w:jc w:val="left"/>
        <w:rPr>
          <w:rFonts w:hint="eastAsia" w:ascii="宋体" w:hAnsi="宋体"/>
          <w:szCs w:val="21"/>
          <w:lang w:val="zh-CN"/>
        </w:rPr>
      </w:pPr>
      <w:r>
        <w:rPr>
          <w:rFonts w:hint="eastAsia" w:ascii="宋体" w:hAnsi="宋体"/>
          <w:szCs w:val="21"/>
          <w:lang w:val="zh-CN"/>
        </w:rPr>
        <w:t>1、工程量清单中的项目名称与特征描述仅指主要内容，未描述的内容与要求必须结合施工验收规范、当地行业主管部门要求、施工蓝图等进行报价及施工，投标报价时综合单价应充分考虑合同、招标文件、施工验收规范、当地行业主管部门要求、施工蓝图等明示和暗示的所有责任、义务和一般风险（除不可抗力及罕见的气候和地质条件）的全部费用 ，该内容应编制说明中描述。</w:t>
      </w:r>
    </w:p>
    <w:p w14:paraId="46DD1F06">
      <w:pPr>
        <w:spacing w:line="400" w:lineRule="exact"/>
        <w:ind w:firstLine="630" w:firstLineChars="300"/>
        <w:jc w:val="left"/>
        <w:rPr>
          <w:rFonts w:hint="eastAsia" w:ascii="宋体" w:hAnsi="宋体"/>
          <w:szCs w:val="21"/>
          <w:lang w:val="zh-CN"/>
        </w:rPr>
      </w:pPr>
      <w:r>
        <w:rPr>
          <w:rFonts w:hint="eastAsia" w:ascii="宋体" w:hAnsi="宋体"/>
          <w:szCs w:val="21"/>
          <w:lang w:val="zh-CN"/>
        </w:rPr>
        <w:t>2、施工便道设置必须方便市民群众和本区块其它标段的施工，满足交警等道路管理部门要求，应充分考虑施工便道的设置方案，费用计入报价，该内容应在编制说明中描述。</w:t>
      </w:r>
    </w:p>
    <w:p w14:paraId="1356C26C">
      <w:pPr>
        <w:spacing w:line="400" w:lineRule="exact"/>
        <w:ind w:firstLine="630" w:firstLineChars="300"/>
        <w:jc w:val="left"/>
        <w:rPr>
          <w:rFonts w:hint="eastAsia" w:ascii="宋体" w:hAnsi="宋体"/>
          <w:szCs w:val="21"/>
          <w:lang w:val="zh-CN"/>
        </w:rPr>
      </w:pPr>
      <w:r>
        <w:rPr>
          <w:rFonts w:hint="eastAsia" w:ascii="宋体" w:hAnsi="宋体"/>
          <w:szCs w:val="21"/>
          <w:lang w:val="zh-CN"/>
        </w:rPr>
        <w:t>3、本工程周围建筑物及杆线的保护费、保证交通安全等要求投标单位综合考虑，并单列费用进入措施项目清单报价中，中标后不作调整。该内容应在编制说明中描述。</w:t>
      </w:r>
    </w:p>
    <w:p w14:paraId="5D0F1C87">
      <w:pPr>
        <w:spacing w:line="400" w:lineRule="exact"/>
        <w:ind w:firstLine="630" w:firstLineChars="300"/>
        <w:jc w:val="left"/>
        <w:rPr>
          <w:rFonts w:hint="eastAsia" w:ascii="宋体" w:hAnsi="宋体"/>
          <w:szCs w:val="21"/>
          <w:lang w:val="zh-CN"/>
        </w:rPr>
      </w:pPr>
      <w:r>
        <w:rPr>
          <w:rFonts w:hint="eastAsia" w:ascii="宋体" w:hAnsi="宋体"/>
          <w:szCs w:val="21"/>
          <w:lang w:val="zh-CN"/>
        </w:rPr>
        <w:t>4、施工期间特别要注意加强安全措施，施工中的安全标志、警戒标志、标牌制作、夜间照明费用等安全措施费在报价时进入措施项目报价清单中，中标后一律不作调整，请在投标报价中综合考虑。该内容应在编制说明中描述。</w:t>
      </w:r>
    </w:p>
    <w:p w14:paraId="326A5307">
      <w:pPr>
        <w:spacing w:line="400" w:lineRule="exact"/>
        <w:ind w:firstLine="630" w:firstLineChars="300"/>
        <w:jc w:val="left"/>
        <w:rPr>
          <w:rFonts w:hint="eastAsia" w:ascii="宋体" w:hAnsi="宋体"/>
          <w:szCs w:val="21"/>
          <w:lang w:val="zh-CN"/>
        </w:rPr>
      </w:pPr>
      <w:r>
        <w:rPr>
          <w:rFonts w:hint="eastAsia" w:ascii="宋体" w:hAnsi="宋体"/>
          <w:szCs w:val="21"/>
          <w:lang w:val="zh-CN"/>
        </w:rPr>
        <w:t>5、投标人应考虑施工期间恶劣天气对工程整体进度的影响，在技术标中明确切实可行的技术防范措施来保证工程整体进度，将该费用列入措施项目清单报价中。该内容应在编制说明中描述。</w:t>
      </w:r>
    </w:p>
    <w:p w14:paraId="0D06BD4E">
      <w:pPr>
        <w:spacing w:line="400" w:lineRule="exact"/>
        <w:ind w:firstLine="630" w:firstLineChars="300"/>
        <w:jc w:val="left"/>
        <w:rPr>
          <w:rFonts w:hint="eastAsia" w:ascii="宋体" w:hAnsi="宋体"/>
          <w:szCs w:val="21"/>
          <w:lang w:val="zh-CN"/>
        </w:rPr>
      </w:pPr>
      <w:r>
        <w:rPr>
          <w:rFonts w:hint="eastAsia" w:ascii="宋体" w:hAnsi="宋体"/>
          <w:szCs w:val="21"/>
          <w:lang w:val="zh-CN"/>
        </w:rPr>
        <w:t>6、风险费自行考虑，计入综合单价。风险范围包括：详见招标文件。该内容应在编制说明中描述。</w:t>
      </w:r>
    </w:p>
    <w:p w14:paraId="2FBE408E">
      <w:pPr>
        <w:spacing w:line="400" w:lineRule="exact"/>
        <w:ind w:firstLine="630" w:firstLineChars="300"/>
        <w:jc w:val="left"/>
        <w:rPr>
          <w:rFonts w:hint="eastAsia" w:ascii="宋体" w:hAnsi="宋体"/>
          <w:szCs w:val="21"/>
          <w:lang w:val="zh-CN"/>
        </w:rPr>
      </w:pPr>
      <w:r>
        <w:rPr>
          <w:rFonts w:hint="eastAsia" w:ascii="宋体" w:hAnsi="宋体"/>
          <w:szCs w:val="21"/>
          <w:lang w:val="zh-CN"/>
        </w:rPr>
        <w:t>7、临时设施在工程竣工验收后15天内搬迁完毕，场地清理干净，否则由建设单位负责拆除、清理，费用在工程款中扣除。该内容应在编制说明中描述。</w:t>
      </w:r>
    </w:p>
    <w:p w14:paraId="14B1B5FC">
      <w:pPr>
        <w:spacing w:line="400" w:lineRule="exact"/>
        <w:ind w:firstLine="630" w:firstLineChars="300"/>
        <w:rPr>
          <w:rFonts w:hint="default" w:ascii="宋体" w:hAnsi="宋体" w:eastAsia="宋体"/>
          <w:szCs w:val="21"/>
          <w:lang w:val="en-US" w:eastAsia="zh-CN"/>
        </w:rPr>
      </w:pPr>
      <w:r>
        <w:rPr>
          <w:rFonts w:hint="eastAsia" w:ascii="宋体" w:hAnsi="宋体"/>
          <w:szCs w:val="21"/>
          <w:lang w:val="zh-CN"/>
        </w:rPr>
        <w:t>8、技术措施项目中以项为单位的措施费用，均一次性包干，结算不作调整。该内容应在编制说明中描述。</w:t>
      </w:r>
    </w:p>
    <w:p w14:paraId="560C654C">
      <w:pPr>
        <w:spacing w:line="400" w:lineRule="exact"/>
        <w:rPr>
          <w:rFonts w:hint="eastAsia" w:ascii="宋体" w:hAnsi="宋体"/>
          <w:szCs w:val="21"/>
          <w:lang w:val="zh-CN"/>
        </w:rPr>
      </w:pPr>
      <w:r>
        <w:rPr>
          <w:rFonts w:hint="eastAsia" w:ascii="宋体" w:hAnsi="宋体"/>
          <w:szCs w:val="21"/>
          <w:lang w:val="zh-CN"/>
        </w:rPr>
        <w:t>（二）、土建部分：</w:t>
      </w:r>
    </w:p>
    <w:p w14:paraId="69B4D9AD">
      <w:pPr>
        <w:spacing w:line="400" w:lineRule="exact"/>
        <w:ind w:left="420" w:leftChars="200"/>
        <w:rPr>
          <w:rFonts w:hint="eastAsia" w:ascii="宋体" w:hAnsi="宋体"/>
          <w:bCs/>
          <w:szCs w:val="21"/>
        </w:rPr>
      </w:pPr>
      <w:r>
        <w:rPr>
          <w:rFonts w:hint="eastAsia" w:ascii="宋体" w:hAnsi="宋体"/>
          <w:bCs/>
          <w:szCs w:val="21"/>
        </w:rPr>
        <w:t>1、本工程预算按甲方提供的图纸编制,结算时，工程量根据竣工图纸、建设方确认的签证单及现场实际测量工程量按实结算。</w:t>
      </w:r>
    </w:p>
    <w:p w14:paraId="607944EA">
      <w:pPr>
        <w:spacing w:line="400" w:lineRule="exact"/>
        <w:ind w:firstLine="420" w:firstLineChars="200"/>
        <w:rPr>
          <w:rFonts w:hint="eastAsia" w:ascii="宋体" w:hAnsi="宋体"/>
          <w:bCs/>
          <w:szCs w:val="21"/>
          <w:lang w:val="zh-CN"/>
        </w:rPr>
      </w:pPr>
      <w:r>
        <w:rPr>
          <w:rFonts w:hint="eastAsia" w:ascii="宋体" w:hAnsi="宋体"/>
          <w:bCs/>
          <w:szCs w:val="21"/>
          <w:lang w:val="en-US" w:eastAsia="zh-CN"/>
        </w:rPr>
        <w:t>4</w:t>
      </w:r>
      <w:r>
        <w:rPr>
          <w:rFonts w:hint="eastAsia" w:ascii="宋体" w:hAnsi="宋体"/>
          <w:bCs/>
          <w:szCs w:val="21"/>
          <w:lang w:val="zh-CN"/>
        </w:rPr>
        <w:t>、本工程混凝土按商品混凝土计入，砂浆按预拌商品砂浆考虑，模板按接触面考虑。</w:t>
      </w:r>
    </w:p>
    <w:p w14:paraId="739CF024">
      <w:pPr>
        <w:spacing w:line="400" w:lineRule="exact"/>
        <w:ind w:firstLine="420" w:firstLineChars="200"/>
        <w:rPr>
          <w:rFonts w:hint="default" w:ascii="宋体" w:hAnsi="宋体" w:cs="Times New Roman"/>
          <w:szCs w:val="21"/>
          <w:lang w:val="en-US"/>
        </w:rPr>
      </w:pPr>
      <w:r>
        <w:rPr>
          <w:rFonts w:hint="eastAsia" w:ascii="宋体" w:hAnsi="宋体"/>
          <w:bCs/>
          <w:szCs w:val="21"/>
          <w:lang w:val="en-US" w:eastAsia="zh-CN"/>
        </w:rPr>
        <w:t>5</w:t>
      </w:r>
      <w:r>
        <w:rPr>
          <w:rFonts w:hint="eastAsia" w:ascii="宋体" w:hAnsi="宋体"/>
          <w:bCs/>
          <w:szCs w:val="21"/>
          <w:lang w:val="zh-CN" w:eastAsia="zh-CN"/>
        </w:rPr>
        <w:t>、本工程土方根据建设单位意见，余土部分由村建设方自行处理，清单不按桐渣专〔202</w:t>
      </w:r>
      <w:r>
        <w:rPr>
          <w:rFonts w:hint="eastAsia" w:ascii="宋体" w:hAnsi="宋体"/>
          <w:bCs/>
          <w:szCs w:val="21"/>
          <w:lang w:val="en-US" w:eastAsia="zh-CN"/>
        </w:rPr>
        <w:t>5</w:t>
      </w:r>
      <w:r>
        <w:rPr>
          <w:rFonts w:hint="eastAsia" w:ascii="宋体" w:hAnsi="宋体"/>
          <w:bCs/>
          <w:szCs w:val="21"/>
          <w:lang w:val="zh-CN" w:eastAsia="zh-CN"/>
        </w:rPr>
        <w:t>〕</w:t>
      </w:r>
      <w:r>
        <w:rPr>
          <w:rFonts w:hint="eastAsia" w:ascii="宋体" w:hAnsi="宋体"/>
          <w:bCs/>
          <w:szCs w:val="21"/>
          <w:lang w:val="en-US" w:eastAsia="zh-CN"/>
        </w:rPr>
        <w:t>1</w:t>
      </w:r>
      <w:r>
        <w:rPr>
          <w:rFonts w:hint="eastAsia" w:ascii="宋体" w:hAnsi="宋体"/>
          <w:bCs/>
          <w:szCs w:val="21"/>
          <w:lang w:val="zh-CN" w:eastAsia="zh-CN"/>
        </w:rPr>
        <w:t xml:space="preserve"> 号文件，运至钟山破塘湾消纳点消纳考</w:t>
      </w:r>
      <w:r>
        <w:rPr>
          <w:rFonts w:hint="eastAsia" w:ascii="宋体" w:hAnsi="宋体" w:eastAsia="宋体"/>
          <w:bCs/>
          <w:szCs w:val="21"/>
          <w:lang w:val="zh-CN" w:eastAsia="zh-CN"/>
        </w:rPr>
        <w:t>虑；</w:t>
      </w:r>
    </w:p>
    <w:p w14:paraId="09B63964">
      <w:pPr>
        <w:spacing w:line="400" w:lineRule="exact"/>
        <w:ind w:firstLine="420" w:firstLineChars="200"/>
        <w:rPr>
          <w:rFonts w:hint="eastAsia" w:ascii="宋体" w:hAnsi="宋体"/>
          <w:bCs/>
          <w:szCs w:val="21"/>
          <w:lang w:val="zh-CN" w:eastAsia="zh-CN"/>
        </w:rPr>
      </w:pPr>
      <w:r>
        <w:rPr>
          <w:rFonts w:hint="eastAsia" w:ascii="宋体" w:hAnsi="宋体" w:cs="Times New Roman"/>
          <w:szCs w:val="21"/>
          <w:lang w:val="en-US" w:eastAsia="zh-CN"/>
        </w:rPr>
        <w:t>6</w:t>
      </w:r>
      <w:r>
        <w:rPr>
          <w:rFonts w:hint="eastAsia" w:ascii="宋体" w:hAnsi="宋体" w:cs="Times New Roman"/>
          <w:szCs w:val="21"/>
          <w:lang w:val="zh-CN"/>
        </w:rPr>
        <w:t>、本工程无原始室外自然地坪标高按地勘报告计算，预算</w:t>
      </w:r>
      <w:r>
        <w:rPr>
          <w:rFonts w:hint="eastAsia" w:ascii="宋体" w:hAnsi="宋体" w:cs="Times New Roman"/>
          <w:szCs w:val="21"/>
          <w:lang w:val="en-US" w:eastAsia="zh-CN"/>
        </w:rPr>
        <w:t>±0.00</w:t>
      </w:r>
      <w:r>
        <w:rPr>
          <w:rFonts w:hint="eastAsia" w:ascii="宋体" w:hAnsi="宋体" w:cs="Times New Roman"/>
          <w:szCs w:val="21"/>
          <w:lang w:val="zh-CN"/>
        </w:rPr>
        <w:t>按黄海高程</w:t>
      </w:r>
      <w:r>
        <w:rPr>
          <w:rFonts w:hint="eastAsia" w:ascii="宋体" w:hAnsi="宋体" w:cs="Times New Roman"/>
          <w:szCs w:val="21"/>
          <w:lang w:val="en-US" w:eastAsia="zh-CN"/>
        </w:rPr>
        <w:t>149.45</w:t>
      </w:r>
      <w:r>
        <w:rPr>
          <w:rFonts w:hint="eastAsia" w:ascii="宋体" w:hAnsi="宋体" w:cs="Times New Roman"/>
          <w:szCs w:val="21"/>
          <w:lang w:val="zh-CN"/>
        </w:rPr>
        <w:t>m计入，</w:t>
      </w:r>
      <w:r>
        <w:rPr>
          <w:rFonts w:hint="eastAsia" w:ascii="宋体" w:hAnsi="宋体" w:cs="Times New Roman"/>
          <w:szCs w:val="21"/>
          <w:lang w:val="en-US" w:eastAsia="zh-CN"/>
        </w:rPr>
        <w:t>自然</w:t>
      </w:r>
      <w:r>
        <w:rPr>
          <w:rFonts w:hint="eastAsia" w:ascii="宋体" w:hAnsi="宋体"/>
          <w:bCs/>
          <w:szCs w:val="21"/>
          <w:lang w:val="en-US" w:eastAsia="zh-CN"/>
        </w:rPr>
        <w:t>地坪为149.15m计入</w:t>
      </w:r>
      <w:r>
        <w:rPr>
          <w:rFonts w:hint="eastAsia" w:ascii="宋体" w:hAnsi="宋体"/>
          <w:bCs/>
          <w:szCs w:val="21"/>
          <w:lang w:val="zh-CN" w:eastAsia="zh-CN"/>
        </w:rPr>
        <w:t>；</w:t>
      </w:r>
    </w:p>
    <w:p w14:paraId="100473A1">
      <w:pPr>
        <w:spacing w:line="400" w:lineRule="exact"/>
        <w:ind w:firstLine="420" w:firstLineChars="200"/>
        <w:rPr>
          <w:rFonts w:hint="eastAsia" w:ascii="宋体" w:hAnsi="宋体"/>
          <w:bCs/>
          <w:szCs w:val="21"/>
          <w:lang w:val="en-US" w:eastAsia="zh-CN"/>
        </w:rPr>
      </w:pPr>
      <w:r>
        <w:rPr>
          <w:rFonts w:hint="eastAsia" w:ascii="宋体" w:hAnsi="宋体"/>
          <w:bCs/>
          <w:szCs w:val="21"/>
          <w:lang w:val="en-US" w:eastAsia="zh-CN"/>
        </w:rPr>
        <w:t>7、施工图设计中说明挖土方至设计标高后，未达到持力层时须进行换填工序，考虑该项为不确定因数及本项目造价原因，故该内容未计入清单预算；如实际发生时结合设计、监理、建设方等确认后按实调整</w:t>
      </w:r>
    </w:p>
    <w:p w14:paraId="537B0F2C">
      <w:pPr>
        <w:spacing w:line="400" w:lineRule="exact"/>
        <w:ind w:firstLine="420" w:firstLineChars="200"/>
        <w:rPr>
          <w:rFonts w:hint="eastAsia" w:ascii="宋体" w:hAnsi="宋体" w:cs="Times New Roman"/>
          <w:szCs w:val="21"/>
          <w:lang w:val="en-US" w:eastAsia="zh-CN"/>
        </w:rPr>
      </w:pPr>
      <w:r>
        <w:rPr>
          <w:rFonts w:hint="eastAsia" w:ascii="宋体" w:hAnsi="宋体" w:cs="Times New Roman"/>
          <w:szCs w:val="21"/>
          <w:lang w:val="en-US" w:eastAsia="zh-CN"/>
        </w:rPr>
        <w:t>8、根据建设方意见部分防水做法调整：外墙由原设计5厚聚合物水泥防水涂料两道改为一道；卫生间天棚1.5厚聚合物水泥防水涂料取消不做；连廊、阳台、卫生间地面防水仅做到上墙250高，取消1.5厚聚合物水泥防水涂料上翻至上层楼板底该道工序</w:t>
      </w:r>
    </w:p>
    <w:p w14:paraId="57FF7530">
      <w:pPr>
        <w:spacing w:line="400" w:lineRule="exact"/>
        <w:ind w:firstLine="420" w:firstLineChars="200"/>
        <w:rPr>
          <w:rFonts w:hint="eastAsia" w:ascii="宋体" w:hAnsi="宋体" w:cs="Times New Roman"/>
          <w:szCs w:val="21"/>
          <w:lang w:val="en-US" w:eastAsia="zh-CN"/>
        </w:rPr>
      </w:pPr>
      <w:r>
        <w:rPr>
          <w:rFonts w:hint="eastAsia" w:ascii="宋体" w:hAnsi="宋体" w:cs="Times New Roman"/>
          <w:szCs w:val="21"/>
          <w:lang w:val="en-US" w:eastAsia="zh-CN"/>
        </w:rPr>
        <w:t>9、根据建设方意见地砖地面仅考虑首层大厅及首层连廊部分，其余设计图所示地面铺设处均取消不做，由二次装修施工</w:t>
      </w:r>
    </w:p>
    <w:p w14:paraId="6735FBF3">
      <w:pPr>
        <w:spacing w:line="400" w:lineRule="exact"/>
        <w:ind w:firstLine="420" w:firstLineChars="200"/>
        <w:rPr>
          <w:rFonts w:hint="eastAsia" w:ascii="宋体" w:hAnsi="宋体" w:cs="Times New Roman"/>
          <w:szCs w:val="21"/>
          <w:lang w:val="en-US" w:eastAsia="zh-CN"/>
        </w:rPr>
      </w:pPr>
      <w:r>
        <w:rPr>
          <w:rFonts w:hint="eastAsia" w:ascii="宋体" w:hAnsi="宋体" w:cs="Times New Roman"/>
          <w:szCs w:val="21"/>
          <w:lang w:val="en-US" w:eastAsia="zh-CN"/>
        </w:rPr>
        <w:t>10、根据建设方意见二层以上室内楼面20厚挤塑聚苯板保温层取消不做</w:t>
      </w:r>
    </w:p>
    <w:p w14:paraId="4D34AFA4">
      <w:pPr>
        <w:spacing w:line="400" w:lineRule="exact"/>
        <w:ind w:firstLine="420" w:firstLineChars="200"/>
        <w:rPr>
          <w:rFonts w:hint="eastAsia" w:ascii="宋体" w:hAnsi="宋体" w:cs="Times New Roman"/>
          <w:szCs w:val="21"/>
          <w:lang w:val="en-US" w:eastAsia="zh-CN"/>
        </w:rPr>
      </w:pPr>
      <w:r>
        <w:rPr>
          <w:rFonts w:hint="eastAsia" w:ascii="宋体" w:hAnsi="宋体" w:cs="Times New Roman"/>
          <w:szCs w:val="21"/>
          <w:lang w:val="en-US" w:eastAsia="zh-CN"/>
        </w:rPr>
        <w:t>11、根据建设方意见闷层楼地面不做处理，墙面仅计入水泥砂浆抹灰</w:t>
      </w:r>
    </w:p>
    <w:p w14:paraId="3F28BF92">
      <w:pPr>
        <w:spacing w:line="400" w:lineRule="exact"/>
        <w:ind w:firstLine="420" w:firstLineChars="200"/>
        <w:rPr>
          <w:rFonts w:hint="eastAsia" w:ascii="宋体" w:hAnsi="宋体" w:cs="Times New Roman"/>
          <w:szCs w:val="21"/>
          <w:lang w:val="en-US" w:eastAsia="zh-CN"/>
        </w:rPr>
      </w:pPr>
      <w:r>
        <w:rPr>
          <w:rFonts w:hint="eastAsia" w:ascii="宋体" w:hAnsi="宋体" w:cs="Times New Roman"/>
          <w:szCs w:val="21"/>
          <w:lang w:val="en-US" w:eastAsia="zh-CN"/>
        </w:rPr>
        <w:t>12、根据建设方意见所有室外项目不计入本项目，包含散水、坡道、台阶等</w:t>
      </w:r>
    </w:p>
    <w:p w14:paraId="47542E5F">
      <w:pPr>
        <w:spacing w:line="400" w:lineRule="exact"/>
        <w:ind w:firstLine="420" w:firstLineChars="200"/>
        <w:rPr>
          <w:rFonts w:hint="eastAsia" w:ascii="宋体" w:hAnsi="宋体" w:cs="Times New Roman"/>
          <w:szCs w:val="21"/>
          <w:lang w:val="en-US" w:eastAsia="zh-CN"/>
        </w:rPr>
      </w:pPr>
      <w:r>
        <w:rPr>
          <w:rFonts w:hint="eastAsia" w:ascii="宋体" w:hAnsi="宋体" w:cs="Times New Roman"/>
          <w:szCs w:val="21"/>
          <w:lang w:val="en-US" w:eastAsia="zh-CN"/>
        </w:rPr>
        <w:t>13、根据建设方意见外墙轻钢雨棚由二次装修考虑，不计入本工程</w:t>
      </w:r>
    </w:p>
    <w:p w14:paraId="38784EC8">
      <w:pPr>
        <w:spacing w:line="400" w:lineRule="exact"/>
        <w:ind w:firstLine="420" w:firstLineChars="200"/>
        <w:rPr>
          <w:rFonts w:hint="default" w:ascii="宋体" w:hAnsi="宋体" w:cs="Times New Roman"/>
          <w:szCs w:val="21"/>
          <w:lang w:val="en-US" w:eastAsia="zh-CN"/>
        </w:rPr>
      </w:pPr>
      <w:r>
        <w:rPr>
          <w:rFonts w:hint="eastAsia" w:ascii="宋体" w:hAnsi="宋体" w:cs="Times New Roman"/>
          <w:szCs w:val="21"/>
          <w:lang w:val="en-US" w:eastAsia="zh-CN"/>
        </w:rPr>
        <w:t>14、根据建设方意见外墙饰面由真石漆改为外墙弹性涂料，其余做法不变</w:t>
      </w:r>
    </w:p>
    <w:p w14:paraId="4A78BA58">
      <w:pPr>
        <w:spacing w:line="400" w:lineRule="exact"/>
        <w:ind w:firstLine="420" w:firstLineChars="200"/>
        <w:rPr>
          <w:rFonts w:hint="eastAsia" w:ascii="宋体" w:hAnsi="宋体" w:cs="Times New Roman"/>
          <w:szCs w:val="21"/>
          <w:lang w:val="en-US" w:eastAsia="zh-CN"/>
        </w:rPr>
      </w:pPr>
      <w:r>
        <w:rPr>
          <w:rFonts w:hint="eastAsia" w:ascii="宋体" w:hAnsi="宋体" w:cs="Times New Roman"/>
          <w:szCs w:val="21"/>
          <w:lang w:val="en-US" w:eastAsia="zh-CN"/>
        </w:rPr>
        <w:t>15</w:t>
      </w:r>
      <w:r>
        <w:rPr>
          <w:rFonts w:hint="eastAsia" w:ascii="宋体" w:hAnsi="宋体" w:cs="Times New Roman"/>
          <w:szCs w:val="21"/>
          <w:lang w:val="zh-CN" w:eastAsia="zh-CN"/>
        </w:rPr>
        <w:t>、所有二次装修项目</w:t>
      </w:r>
      <w:r>
        <w:rPr>
          <w:rFonts w:hint="eastAsia" w:ascii="宋体" w:hAnsi="宋体" w:cs="Times New Roman"/>
          <w:szCs w:val="21"/>
          <w:lang w:val="en-US" w:eastAsia="zh-CN"/>
        </w:rPr>
        <w:t>均不考虑在内，公区装修详见预算清单</w:t>
      </w:r>
    </w:p>
    <w:p w14:paraId="12A678B0">
      <w:pPr>
        <w:spacing w:line="400" w:lineRule="exact"/>
        <w:ind w:firstLine="420" w:firstLineChars="200"/>
        <w:rPr>
          <w:rFonts w:hint="eastAsia" w:ascii="宋体" w:hAnsi="宋体" w:cs="Times New Roman"/>
          <w:szCs w:val="21"/>
          <w:highlight w:val="none"/>
          <w:lang w:val="en-US" w:eastAsia="zh-CN"/>
        </w:rPr>
      </w:pPr>
      <w:r>
        <w:rPr>
          <w:rFonts w:hint="eastAsia" w:ascii="宋体" w:hAnsi="宋体"/>
          <w:bCs/>
          <w:szCs w:val="21"/>
          <w:highlight w:val="none"/>
          <w:lang w:val="en-US" w:eastAsia="zh-CN"/>
        </w:rPr>
        <w:t>16、</w:t>
      </w:r>
      <w:r>
        <w:rPr>
          <w:rFonts w:hint="eastAsia" w:ascii="宋体" w:hAnsi="宋体"/>
          <w:bCs/>
          <w:szCs w:val="21"/>
          <w:highlight w:val="none"/>
        </w:rPr>
        <w:t>地下室中大型机械设备进出场及安拆费已含整个项目的相关内容，投标单位综合考虑相关费用自主报价 。</w:t>
      </w:r>
    </w:p>
    <w:p w14:paraId="62678031">
      <w:pPr>
        <w:spacing w:line="400" w:lineRule="exact"/>
        <w:ind w:firstLine="420" w:firstLineChars="200"/>
        <w:rPr>
          <w:rFonts w:hint="default" w:ascii="宋体" w:hAnsi="宋体" w:cs="Times New Roman"/>
          <w:szCs w:val="21"/>
          <w:lang w:val="en-US" w:eastAsia="zh-CN"/>
        </w:rPr>
      </w:pPr>
      <w:r>
        <w:rPr>
          <w:rFonts w:hint="eastAsia" w:ascii="宋体" w:hAnsi="宋体" w:cs="Times New Roman"/>
          <w:szCs w:val="21"/>
          <w:lang w:val="en-US" w:eastAsia="zh-CN"/>
        </w:rPr>
        <w:t>17、脚手架工程由施工单位根据现场情况，结合当地政策文件自行考虑报价</w:t>
      </w:r>
    </w:p>
    <w:p w14:paraId="3F5EC599">
      <w:pPr>
        <w:spacing w:line="400" w:lineRule="exact"/>
        <w:ind w:firstLine="420" w:firstLineChars="200"/>
        <w:rPr>
          <w:rFonts w:hint="eastAsia" w:ascii="宋体" w:hAnsi="宋体" w:eastAsia="宋体" w:cs="Times New Roman"/>
          <w:szCs w:val="21"/>
          <w:lang w:val="en-US" w:eastAsia="zh-CN"/>
        </w:rPr>
      </w:pPr>
      <w:r>
        <w:rPr>
          <w:rFonts w:hint="eastAsia" w:ascii="宋体" w:hAnsi="宋体" w:cs="Times New Roman"/>
          <w:szCs w:val="21"/>
          <w:lang w:val="en-US" w:eastAsia="zh-CN"/>
        </w:rPr>
        <w:t>18、现场搭设施工临时用房用地需施工单位结合现场情况考虑自行报价，包含在安全文明施工费中</w:t>
      </w:r>
    </w:p>
    <w:p w14:paraId="53223CA2">
      <w:pPr>
        <w:spacing w:line="400" w:lineRule="exact"/>
        <w:ind w:firstLine="420" w:firstLineChars="200"/>
        <w:rPr>
          <w:rFonts w:hint="eastAsia" w:ascii="宋体" w:hAnsi="宋体"/>
          <w:bCs/>
          <w:szCs w:val="21"/>
        </w:rPr>
      </w:pPr>
      <w:r>
        <w:rPr>
          <w:rFonts w:hint="eastAsia" w:ascii="宋体" w:hAnsi="宋体"/>
          <w:bCs/>
          <w:szCs w:val="21"/>
          <w:lang w:val="en-US" w:eastAsia="zh-CN"/>
        </w:rPr>
        <w:t>19</w:t>
      </w:r>
      <w:r>
        <w:rPr>
          <w:rFonts w:hint="eastAsia" w:ascii="宋体" w:hAnsi="宋体"/>
          <w:bCs/>
          <w:szCs w:val="21"/>
        </w:rPr>
        <w:t>、本工程安全文明施工费已包含扬尘费，并已增加扬尘监测点及防尘设备等相关费用，施工时必须达到建设方及相关部门要求的防尘措施。</w:t>
      </w:r>
    </w:p>
    <w:p w14:paraId="675BA44A">
      <w:pPr>
        <w:spacing w:line="400" w:lineRule="exact"/>
        <w:ind w:left="357" w:leftChars="170"/>
        <w:rPr>
          <w:rFonts w:hint="eastAsia" w:ascii="宋体" w:hAnsi="宋体" w:cs="Times New Roman"/>
          <w:color w:val="auto"/>
          <w:szCs w:val="21"/>
          <w:highlight w:val="none"/>
          <w:lang w:val="zh-CN"/>
        </w:rPr>
      </w:pPr>
      <w:r>
        <w:rPr>
          <w:rFonts w:hint="eastAsia" w:ascii="宋体" w:hAnsi="宋体" w:cs="Times New Roman"/>
          <w:color w:val="auto"/>
          <w:szCs w:val="21"/>
          <w:highlight w:val="none"/>
          <w:lang w:val="zh-CN"/>
        </w:rPr>
        <w:t>（</w:t>
      </w:r>
      <w:r>
        <w:rPr>
          <w:rFonts w:hint="eastAsia" w:ascii="宋体" w:hAnsi="宋体" w:cs="Times New Roman"/>
          <w:color w:val="auto"/>
          <w:szCs w:val="21"/>
          <w:highlight w:val="none"/>
          <w:lang w:val="en-US" w:eastAsia="zh-CN"/>
        </w:rPr>
        <w:t>四</w:t>
      </w:r>
      <w:r>
        <w:rPr>
          <w:rFonts w:hint="eastAsia" w:ascii="宋体" w:hAnsi="宋体" w:cs="Times New Roman"/>
          <w:color w:val="auto"/>
          <w:szCs w:val="21"/>
          <w:highlight w:val="none"/>
          <w:lang w:val="zh-CN"/>
        </w:rPr>
        <w:t>）、安装部分：</w:t>
      </w:r>
    </w:p>
    <w:p w14:paraId="5F4ACC8A">
      <w:pPr>
        <w:spacing w:line="400" w:lineRule="exact"/>
        <w:ind w:firstLine="420" w:firstLineChars="200"/>
        <w:rPr>
          <w:rFonts w:hint="eastAsia" w:ascii="宋体" w:hAnsi="宋体" w:eastAsia="宋体" w:cs="Times New Roman"/>
          <w:szCs w:val="21"/>
          <w:highlight w:val="none"/>
          <w:lang w:val="en-US" w:eastAsia="zh-CN"/>
        </w:rPr>
      </w:pPr>
      <w:r>
        <w:rPr>
          <w:rFonts w:hint="eastAsia" w:ascii="宋体" w:hAnsi="宋体" w:eastAsia="宋体" w:cs="Times New Roman"/>
          <w:szCs w:val="21"/>
          <w:highlight w:val="none"/>
          <w:lang w:val="en-US" w:eastAsia="zh-CN"/>
        </w:rPr>
        <w:t>1、配电箱</w:t>
      </w:r>
      <w:r>
        <w:rPr>
          <w:rFonts w:hint="eastAsia" w:ascii="宋体" w:hAnsi="宋体" w:cs="Times New Roman"/>
          <w:szCs w:val="21"/>
          <w:highlight w:val="none"/>
          <w:lang w:val="en-US" w:eastAsia="zh-CN"/>
        </w:rPr>
        <w:t>总箱</w:t>
      </w:r>
      <w:r>
        <w:rPr>
          <w:rFonts w:hint="eastAsia" w:ascii="宋体" w:hAnsi="宋体" w:eastAsia="宋体" w:cs="Times New Roman"/>
          <w:szCs w:val="21"/>
          <w:highlight w:val="none"/>
          <w:lang w:val="en-US" w:eastAsia="zh-CN"/>
        </w:rPr>
        <w:t>进线电缆暂估50m考虑计入</w:t>
      </w:r>
    </w:p>
    <w:p w14:paraId="4D9D9F81">
      <w:pPr>
        <w:spacing w:line="400" w:lineRule="exact"/>
        <w:ind w:firstLine="420" w:firstLineChars="200"/>
        <w:rPr>
          <w:rFonts w:hint="eastAsia" w:ascii="宋体" w:hAnsi="宋体" w:eastAsia="宋体" w:cs="Times New Roman"/>
          <w:szCs w:val="21"/>
          <w:highlight w:val="none"/>
          <w:lang w:val="en-US" w:eastAsia="zh-CN"/>
        </w:rPr>
      </w:pPr>
      <w:r>
        <w:rPr>
          <w:rFonts w:hint="eastAsia" w:ascii="宋体" w:hAnsi="宋体" w:eastAsia="宋体" w:cs="Times New Roman"/>
          <w:szCs w:val="21"/>
          <w:highlight w:val="none"/>
          <w:lang w:val="en-US" w:eastAsia="zh-CN"/>
        </w:rPr>
        <w:t>2、室内雨污废水管算至墙外1.5m处止；室内给水管算至水表井处止，水表及水表井算至室外工程；</w:t>
      </w:r>
    </w:p>
    <w:p w14:paraId="09293F85">
      <w:pPr>
        <w:spacing w:line="400" w:lineRule="exact"/>
        <w:ind w:firstLine="420" w:firstLineChars="200"/>
        <w:rPr>
          <w:rFonts w:hint="eastAsia" w:ascii="宋体" w:hAnsi="宋体" w:eastAsia="宋体" w:cs="Times New Roman"/>
          <w:szCs w:val="21"/>
          <w:highlight w:val="none"/>
          <w:lang w:val="en-US" w:eastAsia="zh-CN"/>
        </w:rPr>
      </w:pPr>
      <w:r>
        <w:rPr>
          <w:rFonts w:hint="eastAsia" w:ascii="宋体" w:hAnsi="宋体" w:eastAsia="宋体" w:cs="Times New Roman"/>
          <w:szCs w:val="21"/>
          <w:highlight w:val="none"/>
          <w:lang w:val="en-US" w:eastAsia="zh-CN"/>
        </w:rPr>
        <w:t>3、室内空气源热泵机组未计入；</w:t>
      </w:r>
    </w:p>
    <w:p w14:paraId="42EFCF15">
      <w:pPr>
        <w:spacing w:line="400" w:lineRule="exact"/>
        <w:ind w:firstLine="420" w:firstLineChars="200"/>
        <w:rPr>
          <w:rFonts w:hint="default"/>
          <w:highlight w:val="none"/>
          <w:lang w:val="en-US" w:eastAsia="zh-CN"/>
        </w:rPr>
      </w:pPr>
      <w:r>
        <w:rPr>
          <w:rFonts w:hint="eastAsia" w:ascii="宋体" w:hAnsi="宋体" w:eastAsia="宋体" w:cs="Times New Roman"/>
          <w:szCs w:val="21"/>
          <w:highlight w:val="none"/>
          <w:lang w:val="en-US" w:eastAsia="zh-CN"/>
        </w:rPr>
        <w:t>4、卫生洁具不计入，洁具下预留塑料止水节考虑计入；</w:t>
      </w:r>
    </w:p>
    <w:p w14:paraId="41020004">
      <w:pPr>
        <w:spacing w:line="400" w:lineRule="exact"/>
        <w:ind w:firstLine="420" w:firstLineChars="200"/>
        <w:rPr>
          <w:rFonts w:hint="eastAsia" w:ascii="宋体" w:hAnsi="宋体" w:cs="Times New Roman"/>
          <w:szCs w:val="21"/>
          <w:highlight w:val="none"/>
          <w:lang w:val="en-US" w:eastAsia="zh-CN"/>
        </w:rPr>
      </w:pPr>
      <w:r>
        <w:rPr>
          <w:rFonts w:hint="eastAsia" w:ascii="宋体" w:hAnsi="宋体" w:eastAsia="宋体" w:cs="Times New Roman"/>
          <w:szCs w:val="21"/>
          <w:highlight w:val="none"/>
          <w:lang w:val="en-US" w:eastAsia="zh-CN"/>
        </w:rPr>
        <w:t>5、</w:t>
      </w:r>
      <w:r>
        <w:rPr>
          <w:rFonts w:hint="eastAsia" w:ascii="宋体" w:hAnsi="宋体" w:cs="Times New Roman"/>
          <w:szCs w:val="21"/>
          <w:highlight w:val="none"/>
          <w:lang w:val="en-US" w:eastAsia="zh-CN"/>
        </w:rPr>
        <w:t>给水支管算至水井水表处至，水表后管道考虑二次装修，不计入本工程</w:t>
      </w:r>
    </w:p>
    <w:p w14:paraId="3C2AFFB1">
      <w:pPr>
        <w:spacing w:line="400" w:lineRule="exact"/>
        <w:ind w:firstLine="420" w:firstLineChars="200"/>
        <w:rPr>
          <w:rFonts w:hint="eastAsia" w:ascii="宋体" w:hAnsi="宋体" w:eastAsia="宋体" w:cs="Times New Roman"/>
          <w:kern w:val="2"/>
          <w:sz w:val="21"/>
          <w:szCs w:val="21"/>
          <w:highlight w:val="none"/>
          <w:lang w:val="en-US" w:eastAsia="zh-CN" w:bidi="ar-SA"/>
        </w:rPr>
      </w:pPr>
      <w:r>
        <w:rPr>
          <w:rFonts w:hint="eastAsia" w:ascii="宋体" w:hAnsi="宋体" w:cs="Times New Roman"/>
          <w:szCs w:val="21"/>
          <w:highlight w:val="none"/>
          <w:lang w:val="en-US" w:eastAsia="zh-CN"/>
        </w:rPr>
        <w:t>6、</w:t>
      </w:r>
      <w:r>
        <w:rPr>
          <w:rFonts w:hint="eastAsia" w:ascii="宋体" w:hAnsi="宋体" w:eastAsia="宋体" w:cs="Times New Roman"/>
          <w:kern w:val="2"/>
          <w:sz w:val="21"/>
          <w:szCs w:val="21"/>
          <w:highlight w:val="none"/>
          <w:lang w:val="en-US" w:eastAsia="zh-CN" w:bidi="ar-SA"/>
        </w:rPr>
        <w:t>户内箱出线考虑二次装修，户内配管、电线、开关、插座及照明均不计入本工程</w:t>
      </w:r>
    </w:p>
    <w:p w14:paraId="29B6E184">
      <w:pPr>
        <w:spacing w:line="400" w:lineRule="exact"/>
        <w:ind w:firstLine="420" w:firstLineChars="200"/>
        <w:rPr>
          <w:rFonts w:hint="default"/>
          <w:highlight w:val="none"/>
          <w:lang w:val="en-US" w:eastAsia="zh-CN"/>
        </w:rPr>
      </w:pPr>
      <w:r>
        <w:rPr>
          <w:rFonts w:hint="eastAsia" w:ascii="宋体" w:hAnsi="宋体" w:cs="Times New Roman"/>
          <w:kern w:val="2"/>
          <w:sz w:val="21"/>
          <w:szCs w:val="21"/>
          <w:highlight w:val="none"/>
          <w:lang w:val="en-US" w:eastAsia="zh-CN" w:bidi="ar-SA"/>
        </w:rPr>
        <w:t>7、电梯井道照明、插座后期由电梯厂家施工，本次预算不计入</w:t>
      </w:r>
    </w:p>
    <w:p w14:paraId="4C7FB91F">
      <w:pPr>
        <w:spacing w:line="400" w:lineRule="exact"/>
        <w:ind w:firstLine="420" w:firstLineChars="200"/>
        <w:rPr>
          <w:rFonts w:hint="eastAsia" w:ascii="宋体" w:hAnsi="宋体" w:eastAsia="宋体" w:cs="Times New Roman"/>
          <w:szCs w:val="21"/>
          <w:highlight w:val="yellow"/>
          <w:lang w:val="en-US" w:eastAsia="zh-CN"/>
        </w:rPr>
      </w:pPr>
      <w:r>
        <w:rPr>
          <w:rFonts w:hint="eastAsia" w:ascii="宋体" w:hAnsi="宋体" w:cs="Times New Roman"/>
          <w:szCs w:val="21"/>
          <w:highlight w:val="none"/>
          <w:lang w:val="en-US" w:eastAsia="zh-CN"/>
        </w:rPr>
        <w:t>8</w:t>
      </w:r>
      <w:r>
        <w:rPr>
          <w:rFonts w:hint="eastAsia" w:ascii="宋体" w:hAnsi="宋体" w:eastAsia="宋体" w:cs="Times New Roman"/>
          <w:szCs w:val="21"/>
          <w:highlight w:val="none"/>
          <w:lang w:val="en-US" w:eastAsia="zh-CN"/>
        </w:rPr>
        <w:t>、室外接市政给水管预留10m考虑计入</w:t>
      </w:r>
    </w:p>
    <w:p w14:paraId="4ED4CA68">
      <w:pPr>
        <w:pStyle w:val="2"/>
        <w:rPr>
          <w:rFonts w:hint="eastAsia" w:ascii="宋体" w:hAnsi="宋体" w:eastAsia="宋体" w:cs="Times New Roman"/>
          <w:szCs w:val="21"/>
          <w:highlight w:val="yellow"/>
          <w:lang w:val="en-US" w:eastAsia="zh-CN"/>
        </w:rPr>
      </w:pPr>
    </w:p>
    <w:p w14:paraId="3133FA4A">
      <w:pPr>
        <w:spacing w:line="400" w:lineRule="exact"/>
        <w:rPr>
          <w:rFonts w:hint="eastAsia" w:ascii="宋体" w:hAnsi="宋体" w:eastAsia="宋体" w:cs="Times New Roman"/>
          <w:b/>
          <w:kern w:val="0"/>
          <w:szCs w:val="21"/>
          <w:highlight w:val="none"/>
          <w:lang w:eastAsia="zh-CN"/>
        </w:rPr>
      </w:pPr>
      <w:r>
        <w:rPr>
          <w:rFonts w:hint="eastAsia" w:ascii="宋体" w:hAnsi="宋体" w:cs="Times New Roman"/>
          <w:b/>
          <w:kern w:val="0"/>
          <w:szCs w:val="21"/>
          <w:highlight w:val="none"/>
        </w:rPr>
        <w:t>十、材料参考的品牌：</w:t>
      </w:r>
    </w:p>
    <w:p w14:paraId="0CF26BF7">
      <w:pPr>
        <w:spacing w:line="400" w:lineRule="exact"/>
        <w:ind w:firstLine="420" w:firstLineChars="200"/>
        <w:rPr>
          <w:rFonts w:hint="eastAsia" w:ascii="宋体" w:hAnsi="宋体" w:cs="Times New Roman"/>
          <w:color w:val="auto"/>
          <w:szCs w:val="21"/>
          <w:highlight w:val="none"/>
        </w:rPr>
      </w:pPr>
      <w:r>
        <w:rPr>
          <w:rFonts w:hint="eastAsia" w:ascii="宋体" w:hAnsi="宋体" w:cs="Times New Roman"/>
          <w:color w:val="auto"/>
          <w:szCs w:val="21"/>
          <w:highlight w:val="none"/>
        </w:rPr>
        <w:t>（一）土建部分：</w:t>
      </w:r>
    </w:p>
    <w:p w14:paraId="062A8D32">
      <w:pPr>
        <w:spacing w:line="400" w:lineRule="exact"/>
        <w:ind w:firstLine="420" w:firstLineChars="200"/>
        <w:rPr>
          <w:rFonts w:hint="eastAsia" w:ascii="宋体" w:hAnsi="宋体" w:cs="Times New Roman"/>
          <w:color w:val="auto"/>
          <w:szCs w:val="21"/>
          <w:highlight w:val="none"/>
        </w:rPr>
      </w:pPr>
      <w:r>
        <w:rPr>
          <w:rFonts w:hint="eastAsia" w:ascii="宋体" w:hAnsi="宋体" w:cs="Times New Roman"/>
          <w:color w:val="auto"/>
          <w:szCs w:val="21"/>
          <w:highlight w:val="none"/>
        </w:rPr>
        <w:t>1、钢材（钢筋、型钢）：宝钢、中天、永钢；</w:t>
      </w:r>
    </w:p>
    <w:p w14:paraId="62EDEB49">
      <w:pPr>
        <w:spacing w:line="400" w:lineRule="exact"/>
        <w:ind w:firstLine="420" w:firstLineChars="200"/>
        <w:rPr>
          <w:rFonts w:hint="eastAsia" w:ascii="宋体" w:hAnsi="宋体" w:cs="Times New Roman"/>
          <w:color w:val="auto"/>
          <w:szCs w:val="21"/>
          <w:highlight w:val="none"/>
        </w:rPr>
      </w:pPr>
      <w:r>
        <w:rPr>
          <w:rFonts w:hint="eastAsia" w:ascii="宋体" w:hAnsi="宋体" w:cs="Times New Roman"/>
          <w:color w:val="auto"/>
          <w:szCs w:val="21"/>
          <w:highlight w:val="none"/>
        </w:rPr>
        <w:t>2、水泥：南方、海螺</w:t>
      </w:r>
      <w:r>
        <w:rPr>
          <w:rFonts w:hint="eastAsia" w:ascii="宋体" w:hAnsi="宋体" w:cs="Times New Roman"/>
          <w:color w:val="auto"/>
          <w:szCs w:val="21"/>
          <w:highlight w:val="none"/>
          <w:lang w:eastAsia="zh-CN"/>
        </w:rPr>
        <w:t>、</w:t>
      </w:r>
      <w:r>
        <w:rPr>
          <w:rFonts w:hint="eastAsia" w:ascii="宋体" w:hAnsi="宋体" w:cs="Times New Roman"/>
          <w:color w:val="auto"/>
          <w:szCs w:val="21"/>
          <w:highlight w:val="none"/>
          <w:lang w:val="en-US" w:eastAsia="zh-CN"/>
        </w:rPr>
        <w:t>红狮</w:t>
      </w:r>
      <w:r>
        <w:rPr>
          <w:rFonts w:hint="eastAsia" w:ascii="宋体" w:hAnsi="宋体" w:cs="Times New Roman"/>
          <w:color w:val="auto"/>
          <w:szCs w:val="21"/>
          <w:highlight w:val="none"/>
        </w:rPr>
        <w:t>；</w:t>
      </w:r>
    </w:p>
    <w:p w14:paraId="40EB31D5">
      <w:pPr>
        <w:spacing w:line="400" w:lineRule="exact"/>
        <w:ind w:firstLine="420" w:firstLineChars="200"/>
        <w:rPr>
          <w:rFonts w:hint="default"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val="en-US" w:eastAsia="zh-CN"/>
        </w:rPr>
        <w:t>3、混凝土砖、加气块：</w:t>
      </w:r>
      <w:r>
        <w:rPr>
          <w:rFonts w:hint="default" w:ascii="宋体" w:hAnsi="宋体" w:eastAsia="宋体" w:cs="Times New Roman"/>
          <w:color w:val="auto"/>
          <w:szCs w:val="21"/>
          <w:highlight w:val="none"/>
          <w:lang w:val="en-US" w:eastAsia="zh-CN"/>
        </w:rPr>
        <w:t>富城墙体</w:t>
      </w:r>
      <w:r>
        <w:rPr>
          <w:rFonts w:hint="eastAsia" w:ascii="宋体" w:hAnsi="宋体" w:cs="Times New Roman"/>
          <w:color w:val="auto"/>
          <w:szCs w:val="21"/>
          <w:highlight w:val="none"/>
          <w:lang w:val="en-US" w:eastAsia="zh-CN"/>
        </w:rPr>
        <w:t>、强基、大路、福亿、奥兴筑友</w:t>
      </w:r>
    </w:p>
    <w:p w14:paraId="7AF90250">
      <w:pPr>
        <w:spacing w:line="400" w:lineRule="exact"/>
        <w:ind w:firstLine="420" w:firstLineChars="200"/>
        <w:rPr>
          <w:rFonts w:hint="eastAsia" w:ascii="宋体" w:hAnsi="宋体" w:cs="Times New Roman"/>
          <w:color w:val="auto"/>
          <w:szCs w:val="21"/>
          <w:highlight w:val="none"/>
        </w:rPr>
      </w:pPr>
      <w:r>
        <w:rPr>
          <w:rFonts w:hint="eastAsia" w:ascii="宋体" w:hAnsi="宋体" w:cs="Times New Roman"/>
          <w:color w:val="auto"/>
          <w:szCs w:val="21"/>
          <w:highlight w:val="none"/>
        </w:rPr>
        <w:t>3、玻璃品牌：杭玻、南玻、上海耀皮</w:t>
      </w:r>
      <w:r>
        <w:rPr>
          <w:rFonts w:hint="eastAsia" w:ascii="宋体" w:hAnsi="宋体" w:cs="Times New Roman"/>
          <w:color w:val="auto"/>
          <w:szCs w:val="21"/>
          <w:highlight w:val="none"/>
          <w:lang w:eastAsia="zh-CN"/>
        </w:rPr>
        <w:t>、瑞晶特种玻璃</w:t>
      </w:r>
      <w:r>
        <w:rPr>
          <w:rFonts w:hint="eastAsia" w:ascii="宋体" w:hAnsi="宋体" w:cs="Times New Roman"/>
          <w:color w:val="auto"/>
          <w:szCs w:val="21"/>
          <w:highlight w:val="none"/>
        </w:rPr>
        <w:t>；</w:t>
      </w:r>
    </w:p>
    <w:p w14:paraId="132BF812">
      <w:pPr>
        <w:spacing w:line="400" w:lineRule="exact"/>
        <w:ind w:firstLine="420" w:firstLineChars="200"/>
        <w:rPr>
          <w:rFonts w:hint="eastAsia" w:ascii="宋体" w:hAnsi="宋体" w:cs="Times New Roman"/>
          <w:color w:val="auto"/>
          <w:szCs w:val="21"/>
          <w:highlight w:val="none"/>
        </w:rPr>
      </w:pPr>
      <w:r>
        <w:rPr>
          <w:rFonts w:hint="eastAsia" w:ascii="宋体" w:hAnsi="宋体" w:cs="Times New Roman"/>
          <w:color w:val="auto"/>
          <w:szCs w:val="21"/>
          <w:highlight w:val="none"/>
        </w:rPr>
        <w:t>4、铝合金：伟业、凤铝、兴发；</w:t>
      </w:r>
    </w:p>
    <w:p w14:paraId="045DB2CB">
      <w:pPr>
        <w:spacing w:line="400" w:lineRule="exact"/>
        <w:ind w:firstLine="420" w:firstLineChars="200"/>
        <w:rPr>
          <w:rFonts w:hint="eastAsia" w:ascii="宋体" w:hAnsi="宋体" w:cs="Times New Roman"/>
          <w:color w:val="auto"/>
          <w:szCs w:val="21"/>
          <w:highlight w:val="none"/>
        </w:rPr>
      </w:pPr>
      <w:r>
        <w:rPr>
          <w:rFonts w:hint="eastAsia" w:ascii="宋体" w:hAnsi="宋体" w:cs="Times New Roman"/>
          <w:color w:val="auto"/>
          <w:szCs w:val="21"/>
          <w:highlight w:val="none"/>
        </w:rPr>
        <w:t>5、涂料、乳胶漆</w:t>
      </w:r>
      <w:r>
        <w:rPr>
          <w:rFonts w:hint="eastAsia" w:ascii="宋体" w:hAnsi="宋体" w:cs="Times New Roman"/>
          <w:color w:val="auto"/>
          <w:szCs w:val="21"/>
          <w:highlight w:val="none"/>
          <w:lang w:eastAsia="zh-CN"/>
        </w:rPr>
        <w:t>、</w:t>
      </w:r>
      <w:r>
        <w:rPr>
          <w:rFonts w:hint="eastAsia" w:ascii="宋体" w:hAnsi="宋体" w:cs="Times New Roman"/>
          <w:color w:val="auto"/>
          <w:szCs w:val="21"/>
          <w:highlight w:val="none"/>
          <w:lang w:val="en-US" w:eastAsia="zh-CN"/>
        </w:rPr>
        <w:t>真石漆</w:t>
      </w:r>
      <w:r>
        <w:rPr>
          <w:rFonts w:hint="eastAsia" w:ascii="宋体" w:hAnsi="宋体" w:cs="Times New Roman"/>
          <w:color w:val="auto"/>
          <w:szCs w:val="21"/>
          <w:highlight w:val="none"/>
        </w:rPr>
        <w:t>：三棵树、嘉宝莉、立邦；</w:t>
      </w:r>
    </w:p>
    <w:p w14:paraId="1D08564D">
      <w:pPr>
        <w:spacing w:line="400" w:lineRule="exact"/>
        <w:ind w:firstLine="420" w:firstLineChars="200"/>
        <w:rPr>
          <w:rFonts w:hint="eastAsia" w:ascii="宋体" w:hAnsi="宋体" w:cs="Times New Roman"/>
          <w:color w:val="auto"/>
          <w:szCs w:val="21"/>
          <w:highlight w:val="none"/>
        </w:rPr>
      </w:pPr>
      <w:r>
        <w:rPr>
          <w:rFonts w:hint="eastAsia" w:ascii="宋体" w:hAnsi="宋体" w:cs="Times New Roman"/>
          <w:color w:val="auto"/>
          <w:szCs w:val="21"/>
          <w:highlight w:val="none"/>
          <w:lang w:val="en-US" w:eastAsia="zh-CN"/>
        </w:rPr>
        <w:t>6</w:t>
      </w:r>
      <w:r>
        <w:rPr>
          <w:rFonts w:hint="eastAsia" w:ascii="宋体" w:hAnsi="宋体" w:cs="Times New Roman"/>
          <w:color w:val="auto"/>
          <w:szCs w:val="21"/>
          <w:highlight w:val="none"/>
        </w:rPr>
        <w:t>、轻钢龙骨：龙牌、可耐福、泰山石膏；</w:t>
      </w:r>
    </w:p>
    <w:p w14:paraId="4B39321C">
      <w:pPr>
        <w:spacing w:line="400" w:lineRule="exact"/>
        <w:ind w:firstLine="420" w:firstLineChars="200"/>
        <w:rPr>
          <w:rFonts w:hint="eastAsia" w:ascii="宋体" w:hAnsi="宋体" w:cs="Times New Roman"/>
          <w:color w:val="auto"/>
          <w:szCs w:val="21"/>
          <w:highlight w:val="none"/>
          <w:lang w:val="en-US" w:eastAsia="zh-CN"/>
        </w:rPr>
      </w:pPr>
      <w:r>
        <w:rPr>
          <w:rFonts w:hint="eastAsia" w:ascii="宋体" w:hAnsi="宋体" w:cs="Times New Roman"/>
          <w:color w:val="auto"/>
          <w:szCs w:val="21"/>
          <w:highlight w:val="none"/>
          <w:lang w:val="en-US" w:eastAsia="zh-CN"/>
        </w:rPr>
        <w:t>7、防水材料：东方雨虹、赛力克、马贝、；</w:t>
      </w:r>
    </w:p>
    <w:p w14:paraId="4EED793E">
      <w:pPr>
        <w:spacing w:line="400" w:lineRule="exact"/>
        <w:ind w:firstLine="420" w:firstLineChars="200"/>
        <w:rPr>
          <w:rFonts w:hint="eastAsia" w:ascii="宋体" w:hAnsi="宋体" w:cs="Times New Roman"/>
          <w:color w:val="auto"/>
          <w:szCs w:val="21"/>
          <w:highlight w:val="none"/>
          <w:lang w:val="en-US" w:eastAsia="zh-CN"/>
        </w:rPr>
      </w:pPr>
      <w:r>
        <w:rPr>
          <w:rFonts w:hint="eastAsia" w:ascii="宋体" w:hAnsi="宋体" w:cs="Times New Roman"/>
          <w:color w:val="auto"/>
          <w:szCs w:val="21"/>
          <w:highlight w:val="none"/>
          <w:lang w:val="en-US" w:eastAsia="zh-CN"/>
        </w:rPr>
        <w:t>8、防火门：王力、群升、步阳、盼盼</w:t>
      </w:r>
    </w:p>
    <w:p w14:paraId="5773FEF9">
      <w:pPr>
        <w:spacing w:line="400" w:lineRule="exact"/>
        <w:ind w:firstLine="420" w:firstLineChars="200"/>
        <w:rPr>
          <w:rFonts w:hint="default" w:ascii="宋体" w:hAnsi="宋体" w:cs="Times New Roman"/>
          <w:color w:val="auto"/>
          <w:szCs w:val="21"/>
          <w:highlight w:val="none"/>
          <w:lang w:val="en-US" w:eastAsia="zh-CN"/>
        </w:rPr>
      </w:pPr>
      <w:r>
        <w:rPr>
          <w:rFonts w:hint="eastAsia" w:ascii="宋体" w:hAnsi="宋体" w:cs="Times New Roman"/>
          <w:color w:val="auto"/>
          <w:szCs w:val="21"/>
          <w:highlight w:val="none"/>
          <w:lang w:val="en-US" w:eastAsia="zh-CN"/>
        </w:rPr>
        <w:t>9、木饰面及木门：梦天、金迪、盼盼</w:t>
      </w:r>
    </w:p>
    <w:p w14:paraId="40BB743D">
      <w:pPr>
        <w:spacing w:line="400" w:lineRule="exact"/>
        <w:ind w:firstLine="420" w:firstLineChars="200"/>
        <w:rPr>
          <w:rFonts w:hint="default" w:ascii="宋体" w:hAnsi="宋体" w:cs="Times New Roman"/>
          <w:color w:val="auto"/>
          <w:szCs w:val="21"/>
          <w:highlight w:val="none"/>
          <w:lang w:val="en-US" w:eastAsia="zh-CN"/>
        </w:rPr>
      </w:pPr>
      <w:r>
        <w:rPr>
          <w:rFonts w:hint="eastAsia" w:ascii="宋体" w:hAnsi="宋体" w:cs="Times New Roman"/>
          <w:color w:val="auto"/>
          <w:szCs w:val="21"/>
          <w:highlight w:val="none"/>
          <w:lang w:val="en-US" w:eastAsia="zh-CN"/>
        </w:rPr>
        <w:t>10、洁具及卫生间五金：箭牌、恒洁、九牧</w:t>
      </w:r>
    </w:p>
    <w:p w14:paraId="295E445F">
      <w:pPr>
        <w:spacing w:line="400" w:lineRule="exact"/>
        <w:ind w:firstLine="420" w:firstLineChars="200"/>
        <w:rPr>
          <w:rFonts w:hint="eastAsia" w:ascii="宋体" w:hAnsi="宋体" w:cs="Times New Roman"/>
          <w:color w:val="auto"/>
          <w:szCs w:val="21"/>
          <w:highlight w:val="none"/>
        </w:rPr>
      </w:pPr>
      <w:r>
        <w:rPr>
          <w:rFonts w:hint="eastAsia" w:ascii="宋体" w:hAnsi="宋体" w:cs="Times New Roman"/>
          <w:color w:val="auto"/>
          <w:szCs w:val="21"/>
          <w:highlight w:val="none"/>
        </w:rPr>
        <w:t>（二）安装部分：</w:t>
      </w:r>
    </w:p>
    <w:p w14:paraId="3E1A554B">
      <w:pPr>
        <w:spacing w:line="400" w:lineRule="exact"/>
        <w:ind w:firstLine="420" w:firstLineChars="200"/>
        <w:rPr>
          <w:rFonts w:hint="eastAsia" w:ascii="宋体" w:hAnsi="宋体" w:cs="Times New Roman"/>
          <w:color w:val="auto"/>
          <w:szCs w:val="21"/>
          <w:highlight w:val="none"/>
          <w:lang w:val="en-US" w:eastAsia="zh-CN"/>
        </w:rPr>
      </w:pPr>
      <w:r>
        <w:rPr>
          <w:rFonts w:hint="eastAsia" w:ascii="宋体" w:hAnsi="宋体" w:cs="Times New Roman"/>
          <w:color w:val="auto"/>
          <w:szCs w:val="21"/>
          <w:highlight w:val="none"/>
          <w:lang w:val="en-US" w:eastAsia="zh-CN"/>
        </w:rPr>
        <w:t xml:space="preserve">1、开关、插座：德力西、正泰、鸿雁牌 </w:t>
      </w:r>
      <w:bookmarkStart w:id="0" w:name="_GoBack"/>
      <w:bookmarkEnd w:id="0"/>
    </w:p>
    <w:p w14:paraId="0A9ED576">
      <w:pPr>
        <w:spacing w:line="400" w:lineRule="exact"/>
        <w:ind w:firstLine="420" w:firstLineChars="200"/>
        <w:rPr>
          <w:rFonts w:hint="eastAsia" w:ascii="宋体" w:hAnsi="宋体" w:cs="Times New Roman"/>
          <w:color w:val="auto"/>
          <w:szCs w:val="21"/>
          <w:highlight w:val="none"/>
          <w:lang w:val="en-US" w:eastAsia="zh-CN"/>
        </w:rPr>
      </w:pPr>
      <w:r>
        <w:rPr>
          <w:rFonts w:hint="eastAsia" w:ascii="宋体" w:hAnsi="宋体" w:cs="Times New Roman"/>
          <w:color w:val="auto"/>
          <w:szCs w:val="21"/>
          <w:highlight w:val="none"/>
          <w:lang w:val="en-US" w:eastAsia="zh-CN"/>
        </w:rPr>
        <w:t xml:space="preserve">2、电线、电缆：浙江元通、浙江万马、杭州（永通）中策 </w:t>
      </w:r>
    </w:p>
    <w:p w14:paraId="1DA6F468">
      <w:pPr>
        <w:spacing w:line="400" w:lineRule="exact"/>
        <w:ind w:firstLine="420" w:firstLineChars="200"/>
        <w:rPr>
          <w:rFonts w:hint="eastAsia" w:ascii="宋体" w:hAnsi="宋体" w:cs="Times New Roman"/>
          <w:color w:val="auto"/>
          <w:szCs w:val="21"/>
          <w:highlight w:val="none"/>
          <w:lang w:val="en-US" w:eastAsia="zh-CN"/>
        </w:rPr>
      </w:pPr>
      <w:r>
        <w:rPr>
          <w:rFonts w:hint="eastAsia" w:ascii="宋体" w:hAnsi="宋体" w:cs="Times New Roman"/>
          <w:color w:val="auto"/>
          <w:szCs w:val="21"/>
          <w:highlight w:val="none"/>
          <w:lang w:val="en-US" w:eastAsia="zh-CN"/>
        </w:rPr>
        <w:t xml:space="preserve">3、PC电线管：伟星、顺达牌、公元 </w:t>
      </w:r>
    </w:p>
    <w:p w14:paraId="12EFCB4D">
      <w:pPr>
        <w:spacing w:line="400" w:lineRule="exact"/>
        <w:ind w:firstLine="420" w:firstLineChars="200"/>
        <w:rPr>
          <w:rFonts w:hint="eastAsia" w:ascii="宋体" w:hAnsi="宋体" w:cs="Times New Roman"/>
          <w:color w:val="auto"/>
          <w:szCs w:val="21"/>
          <w:highlight w:val="none"/>
          <w:lang w:val="en-US" w:eastAsia="zh-CN"/>
        </w:rPr>
      </w:pPr>
      <w:r>
        <w:rPr>
          <w:rFonts w:hint="eastAsia" w:ascii="宋体" w:hAnsi="宋体" w:cs="Times New Roman"/>
          <w:color w:val="auto"/>
          <w:szCs w:val="21"/>
          <w:highlight w:val="none"/>
          <w:lang w:val="en-US" w:eastAsia="zh-CN"/>
        </w:rPr>
        <w:t xml:space="preserve">4、PVC-U管材及相应管件、PPR管及相应管件：伟星、顺达牌、公元 </w:t>
      </w:r>
    </w:p>
    <w:p w14:paraId="22B7C48B">
      <w:pPr>
        <w:spacing w:line="400" w:lineRule="exact"/>
        <w:ind w:firstLine="420" w:firstLineChars="200"/>
        <w:rPr>
          <w:rFonts w:hint="eastAsia" w:ascii="宋体" w:hAnsi="宋体" w:cs="Times New Roman"/>
          <w:color w:val="auto"/>
          <w:szCs w:val="21"/>
          <w:highlight w:val="none"/>
          <w:lang w:val="en-US" w:eastAsia="zh-CN"/>
        </w:rPr>
      </w:pPr>
      <w:r>
        <w:rPr>
          <w:rFonts w:hint="eastAsia" w:ascii="宋体" w:hAnsi="宋体" w:cs="Times New Roman"/>
          <w:color w:val="auto"/>
          <w:szCs w:val="21"/>
          <w:highlight w:val="none"/>
          <w:lang w:val="en-US" w:eastAsia="zh-CN"/>
        </w:rPr>
        <w:t>5、阀门：杭州春江阀门、杭州耐特阀门、安徽AVK阀门</w:t>
      </w:r>
    </w:p>
    <w:p w14:paraId="0DF54218">
      <w:pPr>
        <w:spacing w:line="400" w:lineRule="exact"/>
        <w:ind w:firstLine="420" w:firstLineChars="200"/>
        <w:rPr>
          <w:rFonts w:hint="eastAsia" w:ascii="宋体" w:hAnsi="宋体" w:cs="Times New Roman"/>
          <w:color w:val="auto"/>
          <w:szCs w:val="21"/>
          <w:highlight w:val="none"/>
          <w:lang w:val="en-US" w:eastAsia="zh-CN"/>
        </w:rPr>
      </w:pPr>
      <w:r>
        <w:rPr>
          <w:rFonts w:hint="eastAsia" w:ascii="宋体" w:hAnsi="宋体" w:cs="Times New Roman"/>
          <w:color w:val="auto"/>
          <w:szCs w:val="21"/>
          <w:highlight w:val="none"/>
          <w:lang w:val="en-US" w:eastAsia="zh-CN"/>
        </w:rPr>
        <w:t>6、镀锌钢管、钢塑管、焊接钢管、JDG电线管：金洲、正大、展鹏</w:t>
      </w:r>
    </w:p>
    <w:p w14:paraId="2B438751">
      <w:pPr>
        <w:spacing w:line="400" w:lineRule="exact"/>
        <w:ind w:firstLine="420" w:firstLineChars="200"/>
        <w:rPr>
          <w:rFonts w:hint="default" w:ascii="宋体" w:hAnsi="宋体" w:cs="Times New Roman"/>
          <w:color w:val="auto"/>
          <w:szCs w:val="21"/>
          <w:highlight w:val="none"/>
          <w:lang w:val="en-US" w:eastAsia="zh-CN"/>
        </w:rPr>
      </w:pPr>
      <w:r>
        <w:rPr>
          <w:rFonts w:hint="eastAsia" w:ascii="宋体" w:hAnsi="宋体" w:cs="Times New Roman"/>
          <w:color w:val="auto"/>
          <w:szCs w:val="21"/>
          <w:highlight w:val="none"/>
          <w:lang w:val="en-US" w:eastAsia="zh-CN"/>
        </w:rPr>
        <w:t>7、配电箱成套制造商（小三箱）：杭州创鼎、浙江晨峰、杭州至能</w:t>
      </w:r>
    </w:p>
    <w:p w14:paraId="285290CF">
      <w:pPr>
        <w:spacing w:line="400" w:lineRule="exact"/>
        <w:ind w:firstLine="420" w:firstLineChars="200"/>
        <w:rPr>
          <w:rFonts w:hint="eastAsia" w:ascii="宋体" w:hAnsi="宋体" w:cs="Times New Roman"/>
          <w:color w:val="auto"/>
          <w:szCs w:val="21"/>
          <w:highlight w:val="none"/>
          <w:lang w:val="en-US" w:eastAsia="zh-CN"/>
        </w:rPr>
      </w:pPr>
      <w:r>
        <w:rPr>
          <w:rFonts w:hint="eastAsia" w:ascii="宋体" w:hAnsi="宋体" w:cs="Times New Roman"/>
          <w:color w:val="auto"/>
          <w:szCs w:val="21"/>
          <w:highlight w:val="none"/>
          <w:lang w:val="en-US" w:eastAsia="zh-CN"/>
        </w:rPr>
        <w:t xml:space="preserve">8、浪涌保护器：ABB、施耐德、士林 </w:t>
      </w:r>
    </w:p>
    <w:p w14:paraId="1735A42A">
      <w:pPr>
        <w:spacing w:line="400" w:lineRule="exact"/>
        <w:ind w:firstLine="420" w:firstLineChars="200"/>
        <w:rPr>
          <w:rFonts w:hint="eastAsia" w:ascii="宋体" w:hAnsi="宋体" w:cs="Times New Roman"/>
          <w:color w:val="auto"/>
          <w:szCs w:val="21"/>
          <w:highlight w:val="none"/>
          <w:lang w:val="en-US" w:eastAsia="zh-CN"/>
        </w:rPr>
      </w:pPr>
      <w:r>
        <w:rPr>
          <w:rFonts w:hint="eastAsia" w:ascii="宋体" w:hAnsi="宋体" w:cs="Times New Roman"/>
          <w:color w:val="auto"/>
          <w:szCs w:val="21"/>
          <w:highlight w:val="none"/>
          <w:lang w:val="en-US" w:eastAsia="zh-CN"/>
        </w:rPr>
        <w:t xml:space="preserve">9、桥架及连接件：冠宇、远大、冠杰 </w:t>
      </w:r>
    </w:p>
    <w:p w14:paraId="0C514B53">
      <w:pPr>
        <w:spacing w:line="400" w:lineRule="exact"/>
        <w:ind w:firstLine="420" w:firstLineChars="200"/>
        <w:rPr>
          <w:rFonts w:hint="eastAsia" w:ascii="宋体" w:hAnsi="宋体" w:cs="Times New Roman"/>
          <w:color w:val="auto"/>
          <w:szCs w:val="21"/>
          <w:highlight w:val="none"/>
          <w:lang w:val="en-US" w:eastAsia="zh-CN"/>
        </w:rPr>
      </w:pPr>
      <w:r>
        <w:rPr>
          <w:rFonts w:hint="eastAsia" w:ascii="宋体" w:hAnsi="宋体" w:cs="Times New Roman"/>
          <w:color w:val="auto"/>
          <w:szCs w:val="21"/>
          <w:highlight w:val="none"/>
          <w:lang w:val="en-US" w:eastAsia="zh-CN"/>
        </w:rPr>
        <w:t xml:space="preserve">10、普通照明灯具：雷士、飞利浦、欧普、欧司朗 </w:t>
      </w:r>
    </w:p>
    <w:p w14:paraId="6C4FBACE">
      <w:pPr>
        <w:keepNext w:val="0"/>
        <w:keepLines w:val="0"/>
        <w:widowControl/>
        <w:suppressLineNumbers w:val="0"/>
        <w:jc w:val="left"/>
        <w:rPr>
          <w:rFonts w:hint="eastAsia" w:ascii="宋体" w:hAnsi="宋体"/>
          <w:bCs/>
          <w:sz w:val="18"/>
          <w:szCs w:val="18"/>
          <w:highlight w:val="none"/>
        </w:rPr>
      </w:pPr>
      <w:r>
        <w:rPr>
          <w:rFonts w:hint="eastAsia" w:ascii="宋体" w:hAnsi="宋体" w:eastAsia="宋体" w:cs="宋体"/>
          <w:b/>
          <w:bCs/>
          <w:color w:val="FF0000"/>
          <w:kern w:val="0"/>
          <w:sz w:val="24"/>
          <w:szCs w:val="24"/>
          <w:highlight w:val="none"/>
          <w:lang w:val="en-US" w:eastAsia="zh-CN" w:bidi="ar"/>
        </w:rPr>
        <w:t>备注：除以上推荐品牌以外,其它能满足本项目需求且性能与推荐品牌相当或更优的产品，经建设单位认可可以使用。</w:t>
      </w:r>
    </w:p>
    <w:p w14:paraId="7330A642">
      <w:pPr>
        <w:pStyle w:val="2"/>
        <w:rPr>
          <w:rFonts w:hint="eastAsia" w:ascii="宋体" w:hAnsi="宋体"/>
          <w:bCs/>
          <w:sz w:val="18"/>
          <w:szCs w:val="18"/>
          <w:highlight w:val="yellow"/>
        </w:rPr>
      </w:pPr>
    </w:p>
    <w:p w14:paraId="360180FB">
      <w:pPr>
        <w:pStyle w:val="2"/>
        <w:rPr>
          <w:rFonts w:hint="eastAsia" w:ascii="宋体" w:hAnsi="宋体"/>
          <w:bCs/>
          <w:sz w:val="18"/>
          <w:szCs w:val="18"/>
          <w:highlight w:val="yellow"/>
        </w:rPr>
      </w:pPr>
    </w:p>
    <w:sectPr>
      <w:footerReference r:id="rId3" w:type="default"/>
      <w:footerReference r:id="rId4" w:type="even"/>
      <w:pgSz w:w="11907" w:h="16840"/>
      <w:pgMar w:top="1713" w:right="1007" w:bottom="1402"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A0204"/>
    <w:charset w:val="00"/>
    <w:family w:val="swiss"/>
    <w:pitch w:val="default"/>
    <w:sig w:usb0="E00002FF" w:usb1="4000ACFF" w:usb2="00000001" w:usb3="00000000" w:csb0="2000019F" w:csb1="00000000"/>
  </w:font>
  <w:font w:name="新宋体">
    <w:panose1 w:val="02010609030101010101"/>
    <w:charset w:val="86"/>
    <w:family w:val="modern"/>
    <w:pitch w:val="default"/>
    <w:sig w:usb0="00000003" w:usb1="288F0000" w:usb2="00000006" w:usb3="00000000" w:csb0="00040001" w:csb1="00000000"/>
  </w:font>
  <w:font w:name="ËÎÌå">
    <w:altName w:val="Times New Roman"/>
    <w:panose1 w:val="00000000000000000000"/>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4BEF30">
    <w:pPr>
      <w:pStyle w:val="2"/>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8</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21</w:t>
    </w:r>
    <w:r>
      <w:rPr>
        <w:kern w:val="0"/>
        <w:szCs w:val="21"/>
      </w:rPr>
      <w:fldChar w:fldCharType="end"/>
    </w:r>
    <w:r>
      <w:rPr>
        <w:rFonts w:hint="eastAsia"/>
        <w:kern w:val="0"/>
        <w:szCs w:val="21"/>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BD2868">
    <w:pPr>
      <w:pStyle w:val="2"/>
      <w:framePr w:wrap="around" w:vAnchor="text" w:hAnchor="margin" w:xAlign="center" w:y="1"/>
      <w:rPr>
        <w:rStyle w:val="12"/>
      </w:rPr>
    </w:pPr>
    <w:r>
      <w:fldChar w:fldCharType="begin"/>
    </w:r>
    <w:r>
      <w:rPr>
        <w:rStyle w:val="12"/>
      </w:rPr>
      <w:instrText xml:space="preserve">PAGE  </w:instrText>
    </w:r>
    <w:r>
      <w:fldChar w:fldCharType="end"/>
    </w:r>
  </w:p>
  <w:p w14:paraId="1E5E8916">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E60F47"/>
    <w:multiLevelType w:val="multilevel"/>
    <w:tmpl w:val="25E60F47"/>
    <w:lvl w:ilvl="0" w:tentative="0">
      <w:start w:val="1"/>
      <w:numFmt w:val="decimal"/>
      <w:lvlText w:val="%1."/>
      <w:lvlJc w:val="left"/>
      <w:pPr>
        <w:tabs>
          <w:tab w:val="left" w:pos="1140"/>
        </w:tabs>
        <w:ind w:left="1140" w:hanging="420"/>
      </w:pPr>
      <w:rPr>
        <w:rFonts w:hint="eastAsia" w:eastAsia="新宋体"/>
        <w:b w:val="0"/>
        <w:i w:val="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5E1339E5"/>
    <w:multiLevelType w:val="multilevel"/>
    <w:tmpl w:val="5E1339E5"/>
    <w:lvl w:ilvl="0" w:tentative="0">
      <w:start w:val="1"/>
      <w:numFmt w:val="chineseCountingThousand"/>
      <w:lvlText w:val="%1."/>
      <w:lvlJc w:val="left"/>
      <w:pPr>
        <w:tabs>
          <w:tab w:val="left" w:pos="420"/>
        </w:tabs>
        <w:ind w:left="420" w:hanging="420"/>
      </w:pPr>
      <w:rPr>
        <w:rFonts w:hint="eastAsia" w:eastAsia="宋体"/>
        <w:b/>
        <w:color w:val="FF0000"/>
        <w:lang w:val="en-US"/>
      </w:rPr>
    </w:lvl>
    <w:lvl w:ilvl="1" w:tentative="0">
      <w:start w:val="1"/>
      <w:numFmt w:val="decimal"/>
      <w:lvlText w:val="%2、"/>
      <w:lvlJc w:val="left"/>
      <w:pPr>
        <w:tabs>
          <w:tab w:val="left" w:pos="1140"/>
        </w:tabs>
        <w:ind w:left="1140" w:hanging="720"/>
      </w:pPr>
      <w:rPr>
        <w:rFonts w:hint="eastAsia"/>
      </w:rPr>
    </w:lvl>
    <w:lvl w:ilvl="2" w:tentative="0">
      <w:start w:val="1"/>
      <w:numFmt w:val="lowerLetter"/>
      <w:lvlText w:val="%3、"/>
      <w:lvlJc w:val="left"/>
      <w:pPr>
        <w:tabs>
          <w:tab w:val="left" w:pos="1560"/>
        </w:tabs>
        <w:ind w:left="1560" w:hanging="720"/>
      </w:pPr>
      <w:rPr>
        <w:rFonts w:hint="default"/>
      </w:rPr>
    </w:lvl>
    <w:lvl w:ilvl="3" w:tentative="0">
      <w:start w:val="1"/>
      <w:numFmt w:val="decimal"/>
      <w:lvlText w:val="（%4）"/>
      <w:lvlJc w:val="left"/>
      <w:pPr>
        <w:tabs>
          <w:tab w:val="left" w:pos="1980"/>
        </w:tabs>
        <w:ind w:left="1980" w:hanging="720"/>
      </w:pPr>
      <w:rPr>
        <w:rFonts w:hint="eastAsia"/>
      </w:rPr>
    </w:lvl>
    <w:lvl w:ilvl="4" w:tentative="0">
      <w:start w:val="1"/>
      <w:numFmt w:val="japaneseCounting"/>
      <w:lvlText w:val="（%5）"/>
      <w:lvlJc w:val="left"/>
      <w:pPr>
        <w:tabs>
          <w:tab w:val="left" w:pos="2535"/>
        </w:tabs>
        <w:ind w:left="2535" w:hanging="855"/>
      </w:pPr>
      <w:rPr>
        <w:rFonts w:hint="eastAsia"/>
      </w:rPr>
    </w:lvl>
    <w:lvl w:ilvl="5" w:tentative="0">
      <w:start w:val="1"/>
      <w:numFmt w:val="decimal"/>
      <w:lvlText w:val="%6．"/>
      <w:lvlJc w:val="left"/>
      <w:pPr>
        <w:tabs>
          <w:tab w:val="left" w:pos="2820"/>
        </w:tabs>
        <w:ind w:left="2820" w:hanging="720"/>
      </w:pPr>
      <w:rPr>
        <w:rFonts w:hint="eastAsia"/>
      </w:rPr>
    </w:lvl>
    <w:lvl w:ilvl="6" w:tentative="0">
      <w:start w:val="1"/>
      <w:numFmt w:val="decimal"/>
      <w:lvlText w:val="%7"/>
      <w:lvlJc w:val="left"/>
      <w:pPr>
        <w:tabs>
          <w:tab w:val="left" w:pos="2895"/>
        </w:tabs>
        <w:ind w:left="2895" w:hanging="375"/>
      </w:pPr>
      <w:rPr>
        <w:rFonts w:hint="default"/>
        <w:b/>
      </w:r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zODBlMTczOGNhMmQ5OTE0YmQ0MDk3YTcxNjVhZmIifQ=="/>
    <w:docVar w:name="KSO_WPS_MARK_KEY" w:val="7a8c3840-d053-4add-9ba8-23280b97b4e6"/>
  </w:docVars>
  <w:rsids>
    <w:rsidRoot w:val="00172A27"/>
    <w:rsid w:val="000076D0"/>
    <w:rsid w:val="0001078D"/>
    <w:rsid w:val="000134DA"/>
    <w:rsid w:val="00023309"/>
    <w:rsid w:val="000405C4"/>
    <w:rsid w:val="0004283C"/>
    <w:rsid w:val="00056F9C"/>
    <w:rsid w:val="00067CEC"/>
    <w:rsid w:val="00067D33"/>
    <w:rsid w:val="000756E4"/>
    <w:rsid w:val="000A1D2A"/>
    <w:rsid w:val="000A74D7"/>
    <w:rsid w:val="000A7E43"/>
    <w:rsid w:val="000C04A2"/>
    <w:rsid w:val="000D16B3"/>
    <w:rsid w:val="000D40B5"/>
    <w:rsid w:val="000E1B8A"/>
    <w:rsid w:val="00105B10"/>
    <w:rsid w:val="00107A1D"/>
    <w:rsid w:val="00125C38"/>
    <w:rsid w:val="0013295C"/>
    <w:rsid w:val="0016208F"/>
    <w:rsid w:val="001636FA"/>
    <w:rsid w:val="00165917"/>
    <w:rsid w:val="00172803"/>
    <w:rsid w:val="00175856"/>
    <w:rsid w:val="001763E9"/>
    <w:rsid w:val="00194A80"/>
    <w:rsid w:val="00196B90"/>
    <w:rsid w:val="001C2FD9"/>
    <w:rsid w:val="001C713A"/>
    <w:rsid w:val="001D2B3A"/>
    <w:rsid w:val="001D668C"/>
    <w:rsid w:val="001E10E6"/>
    <w:rsid w:val="001F67CF"/>
    <w:rsid w:val="001F753F"/>
    <w:rsid w:val="002156DE"/>
    <w:rsid w:val="00217015"/>
    <w:rsid w:val="00224911"/>
    <w:rsid w:val="00224D5D"/>
    <w:rsid w:val="00224DD7"/>
    <w:rsid w:val="00225A20"/>
    <w:rsid w:val="002356E4"/>
    <w:rsid w:val="002541FB"/>
    <w:rsid w:val="00262B75"/>
    <w:rsid w:val="0027675F"/>
    <w:rsid w:val="00277D57"/>
    <w:rsid w:val="002922D3"/>
    <w:rsid w:val="00295389"/>
    <w:rsid w:val="0029765B"/>
    <w:rsid w:val="00297CFF"/>
    <w:rsid w:val="002A110A"/>
    <w:rsid w:val="002A7B38"/>
    <w:rsid w:val="002B15C0"/>
    <w:rsid w:val="002C44D6"/>
    <w:rsid w:val="002C7C12"/>
    <w:rsid w:val="002D5A38"/>
    <w:rsid w:val="002D76FA"/>
    <w:rsid w:val="002E02F7"/>
    <w:rsid w:val="002E5172"/>
    <w:rsid w:val="002E5C9D"/>
    <w:rsid w:val="002F4A3C"/>
    <w:rsid w:val="002F61C2"/>
    <w:rsid w:val="00303850"/>
    <w:rsid w:val="0030681C"/>
    <w:rsid w:val="003079A0"/>
    <w:rsid w:val="00310E8D"/>
    <w:rsid w:val="0032001A"/>
    <w:rsid w:val="00322D60"/>
    <w:rsid w:val="0032746B"/>
    <w:rsid w:val="003308EA"/>
    <w:rsid w:val="003455D4"/>
    <w:rsid w:val="003461CC"/>
    <w:rsid w:val="003A4963"/>
    <w:rsid w:val="003A62AD"/>
    <w:rsid w:val="003B2676"/>
    <w:rsid w:val="003B46E5"/>
    <w:rsid w:val="003C0827"/>
    <w:rsid w:val="003C53D3"/>
    <w:rsid w:val="003C7602"/>
    <w:rsid w:val="003E0993"/>
    <w:rsid w:val="003E55E2"/>
    <w:rsid w:val="003F1A01"/>
    <w:rsid w:val="003F456D"/>
    <w:rsid w:val="003F7C24"/>
    <w:rsid w:val="00402C17"/>
    <w:rsid w:val="004046D9"/>
    <w:rsid w:val="004053DC"/>
    <w:rsid w:val="0043389B"/>
    <w:rsid w:val="004361B0"/>
    <w:rsid w:val="00441581"/>
    <w:rsid w:val="00450D2E"/>
    <w:rsid w:val="00462762"/>
    <w:rsid w:val="00481E67"/>
    <w:rsid w:val="004916C1"/>
    <w:rsid w:val="00491929"/>
    <w:rsid w:val="00496A29"/>
    <w:rsid w:val="004B78EF"/>
    <w:rsid w:val="004C441B"/>
    <w:rsid w:val="004D0292"/>
    <w:rsid w:val="004E5C29"/>
    <w:rsid w:val="004E5E41"/>
    <w:rsid w:val="004F3A4F"/>
    <w:rsid w:val="004F7818"/>
    <w:rsid w:val="004F7BF4"/>
    <w:rsid w:val="00520E55"/>
    <w:rsid w:val="005301A2"/>
    <w:rsid w:val="00542471"/>
    <w:rsid w:val="00543DA0"/>
    <w:rsid w:val="00556F25"/>
    <w:rsid w:val="005706E5"/>
    <w:rsid w:val="00586121"/>
    <w:rsid w:val="00593693"/>
    <w:rsid w:val="005A2471"/>
    <w:rsid w:val="005B1509"/>
    <w:rsid w:val="005B2A79"/>
    <w:rsid w:val="005B763D"/>
    <w:rsid w:val="005C023B"/>
    <w:rsid w:val="005C1933"/>
    <w:rsid w:val="005C21D1"/>
    <w:rsid w:val="005D6C44"/>
    <w:rsid w:val="005E2E4B"/>
    <w:rsid w:val="005E70EB"/>
    <w:rsid w:val="005F19EC"/>
    <w:rsid w:val="005F74ED"/>
    <w:rsid w:val="00605CE7"/>
    <w:rsid w:val="0061647A"/>
    <w:rsid w:val="006202B7"/>
    <w:rsid w:val="00620919"/>
    <w:rsid w:val="0062148D"/>
    <w:rsid w:val="00625525"/>
    <w:rsid w:val="00626CEF"/>
    <w:rsid w:val="00660FF7"/>
    <w:rsid w:val="00664CF9"/>
    <w:rsid w:val="0067068F"/>
    <w:rsid w:val="00684314"/>
    <w:rsid w:val="00691FD7"/>
    <w:rsid w:val="006B73E4"/>
    <w:rsid w:val="006C2103"/>
    <w:rsid w:val="006D603F"/>
    <w:rsid w:val="006E6140"/>
    <w:rsid w:val="006E63EF"/>
    <w:rsid w:val="0070377A"/>
    <w:rsid w:val="00704E29"/>
    <w:rsid w:val="00707289"/>
    <w:rsid w:val="00712F38"/>
    <w:rsid w:val="00713722"/>
    <w:rsid w:val="00743985"/>
    <w:rsid w:val="00750155"/>
    <w:rsid w:val="007525BD"/>
    <w:rsid w:val="0075442B"/>
    <w:rsid w:val="00763288"/>
    <w:rsid w:val="0078028B"/>
    <w:rsid w:val="00783CD3"/>
    <w:rsid w:val="00783EED"/>
    <w:rsid w:val="00784D62"/>
    <w:rsid w:val="007B1FD3"/>
    <w:rsid w:val="007C0F41"/>
    <w:rsid w:val="007C3EB7"/>
    <w:rsid w:val="007C4B3B"/>
    <w:rsid w:val="007C626D"/>
    <w:rsid w:val="007D1EB7"/>
    <w:rsid w:val="007D4169"/>
    <w:rsid w:val="007F73E4"/>
    <w:rsid w:val="008029BF"/>
    <w:rsid w:val="008033B6"/>
    <w:rsid w:val="00804735"/>
    <w:rsid w:val="00816A12"/>
    <w:rsid w:val="008223F0"/>
    <w:rsid w:val="008243E0"/>
    <w:rsid w:val="0082472F"/>
    <w:rsid w:val="00834A5A"/>
    <w:rsid w:val="0085016B"/>
    <w:rsid w:val="00855592"/>
    <w:rsid w:val="00857ED6"/>
    <w:rsid w:val="00877AD4"/>
    <w:rsid w:val="008813D4"/>
    <w:rsid w:val="008960AF"/>
    <w:rsid w:val="008A1EE7"/>
    <w:rsid w:val="008A2A5C"/>
    <w:rsid w:val="008A46DB"/>
    <w:rsid w:val="008B5777"/>
    <w:rsid w:val="008B70E1"/>
    <w:rsid w:val="008C14D3"/>
    <w:rsid w:val="008E4D0A"/>
    <w:rsid w:val="008F3B8D"/>
    <w:rsid w:val="009015CC"/>
    <w:rsid w:val="00904D1E"/>
    <w:rsid w:val="0090607D"/>
    <w:rsid w:val="009067FB"/>
    <w:rsid w:val="00913AD4"/>
    <w:rsid w:val="00946156"/>
    <w:rsid w:val="009579BC"/>
    <w:rsid w:val="00960BFA"/>
    <w:rsid w:val="00961B24"/>
    <w:rsid w:val="00965D60"/>
    <w:rsid w:val="009703F6"/>
    <w:rsid w:val="00985A8A"/>
    <w:rsid w:val="00992B1F"/>
    <w:rsid w:val="009936A9"/>
    <w:rsid w:val="009A2A27"/>
    <w:rsid w:val="009A4BA1"/>
    <w:rsid w:val="009A62E9"/>
    <w:rsid w:val="009C088F"/>
    <w:rsid w:val="009E05A9"/>
    <w:rsid w:val="009E4D94"/>
    <w:rsid w:val="00A27315"/>
    <w:rsid w:val="00A27702"/>
    <w:rsid w:val="00A31541"/>
    <w:rsid w:val="00A34BAE"/>
    <w:rsid w:val="00A3518F"/>
    <w:rsid w:val="00A43FF4"/>
    <w:rsid w:val="00A75950"/>
    <w:rsid w:val="00A83BDC"/>
    <w:rsid w:val="00A92268"/>
    <w:rsid w:val="00AC2E55"/>
    <w:rsid w:val="00AC4E18"/>
    <w:rsid w:val="00AD07CB"/>
    <w:rsid w:val="00AD195F"/>
    <w:rsid w:val="00AD6477"/>
    <w:rsid w:val="00AE6928"/>
    <w:rsid w:val="00AF2348"/>
    <w:rsid w:val="00AF4C50"/>
    <w:rsid w:val="00B00553"/>
    <w:rsid w:val="00B01F74"/>
    <w:rsid w:val="00B12831"/>
    <w:rsid w:val="00B1528B"/>
    <w:rsid w:val="00B22DFF"/>
    <w:rsid w:val="00B31A4B"/>
    <w:rsid w:val="00B426BF"/>
    <w:rsid w:val="00B42EC1"/>
    <w:rsid w:val="00B53D8F"/>
    <w:rsid w:val="00B6098C"/>
    <w:rsid w:val="00B64B52"/>
    <w:rsid w:val="00B674E8"/>
    <w:rsid w:val="00B83B16"/>
    <w:rsid w:val="00B9212B"/>
    <w:rsid w:val="00B95993"/>
    <w:rsid w:val="00BA55F7"/>
    <w:rsid w:val="00BB4AF8"/>
    <w:rsid w:val="00BD1062"/>
    <w:rsid w:val="00BD4C9A"/>
    <w:rsid w:val="00BF5176"/>
    <w:rsid w:val="00C1557E"/>
    <w:rsid w:val="00C16120"/>
    <w:rsid w:val="00C1683B"/>
    <w:rsid w:val="00C16E8C"/>
    <w:rsid w:val="00C31F60"/>
    <w:rsid w:val="00C52134"/>
    <w:rsid w:val="00C52457"/>
    <w:rsid w:val="00C532E5"/>
    <w:rsid w:val="00C5776A"/>
    <w:rsid w:val="00C855E7"/>
    <w:rsid w:val="00C911B9"/>
    <w:rsid w:val="00CA1C80"/>
    <w:rsid w:val="00CA3D49"/>
    <w:rsid w:val="00CA46CA"/>
    <w:rsid w:val="00CA634B"/>
    <w:rsid w:val="00CB30B8"/>
    <w:rsid w:val="00CB36EB"/>
    <w:rsid w:val="00CC49DB"/>
    <w:rsid w:val="00CD0BF2"/>
    <w:rsid w:val="00CE4BD8"/>
    <w:rsid w:val="00CF5B2C"/>
    <w:rsid w:val="00CF6C9D"/>
    <w:rsid w:val="00D04B6A"/>
    <w:rsid w:val="00D107C0"/>
    <w:rsid w:val="00D23326"/>
    <w:rsid w:val="00D3555F"/>
    <w:rsid w:val="00D3671B"/>
    <w:rsid w:val="00D46BE2"/>
    <w:rsid w:val="00D56502"/>
    <w:rsid w:val="00D60DAA"/>
    <w:rsid w:val="00D63AD7"/>
    <w:rsid w:val="00D70AF0"/>
    <w:rsid w:val="00D85F5A"/>
    <w:rsid w:val="00D92917"/>
    <w:rsid w:val="00D94491"/>
    <w:rsid w:val="00D94CCC"/>
    <w:rsid w:val="00DA50B0"/>
    <w:rsid w:val="00DB14E6"/>
    <w:rsid w:val="00DB573F"/>
    <w:rsid w:val="00DB6AA0"/>
    <w:rsid w:val="00DC3569"/>
    <w:rsid w:val="00DD38AE"/>
    <w:rsid w:val="00DD52A4"/>
    <w:rsid w:val="00DE249F"/>
    <w:rsid w:val="00DF4616"/>
    <w:rsid w:val="00E02725"/>
    <w:rsid w:val="00E127A5"/>
    <w:rsid w:val="00E30D6D"/>
    <w:rsid w:val="00E3109D"/>
    <w:rsid w:val="00E4608E"/>
    <w:rsid w:val="00E542C8"/>
    <w:rsid w:val="00E6597A"/>
    <w:rsid w:val="00E732F9"/>
    <w:rsid w:val="00E81E84"/>
    <w:rsid w:val="00E85A99"/>
    <w:rsid w:val="00EA6EFB"/>
    <w:rsid w:val="00EB22E6"/>
    <w:rsid w:val="00EB4A4C"/>
    <w:rsid w:val="00ED0C4E"/>
    <w:rsid w:val="00ED299B"/>
    <w:rsid w:val="00ED5986"/>
    <w:rsid w:val="00ED6E43"/>
    <w:rsid w:val="00EE3CD2"/>
    <w:rsid w:val="00EE7207"/>
    <w:rsid w:val="00EF40F3"/>
    <w:rsid w:val="00EF634F"/>
    <w:rsid w:val="00F034C8"/>
    <w:rsid w:val="00F0662F"/>
    <w:rsid w:val="00F20711"/>
    <w:rsid w:val="00F307F4"/>
    <w:rsid w:val="00F42ADE"/>
    <w:rsid w:val="00F44C0A"/>
    <w:rsid w:val="00F50EED"/>
    <w:rsid w:val="00F53F2B"/>
    <w:rsid w:val="00F60A13"/>
    <w:rsid w:val="00F65E5C"/>
    <w:rsid w:val="00F8293F"/>
    <w:rsid w:val="00F86226"/>
    <w:rsid w:val="00F90AD0"/>
    <w:rsid w:val="00F962A1"/>
    <w:rsid w:val="00FA0273"/>
    <w:rsid w:val="00FA2D79"/>
    <w:rsid w:val="00FA6B70"/>
    <w:rsid w:val="00FB201F"/>
    <w:rsid w:val="00FC2871"/>
    <w:rsid w:val="00FE22FB"/>
    <w:rsid w:val="00FE25C0"/>
    <w:rsid w:val="0112008C"/>
    <w:rsid w:val="013B325F"/>
    <w:rsid w:val="0174098A"/>
    <w:rsid w:val="01AA4759"/>
    <w:rsid w:val="01BD4AAC"/>
    <w:rsid w:val="01DA26C6"/>
    <w:rsid w:val="020F5C84"/>
    <w:rsid w:val="023D08FC"/>
    <w:rsid w:val="029F02C7"/>
    <w:rsid w:val="02A940FA"/>
    <w:rsid w:val="02CC6B89"/>
    <w:rsid w:val="038D58E7"/>
    <w:rsid w:val="03C8261B"/>
    <w:rsid w:val="03EE1C3B"/>
    <w:rsid w:val="0493466D"/>
    <w:rsid w:val="04A31BCF"/>
    <w:rsid w:val="0580326D"/>
    <w:rsid w:val="05844B5D"/>
    <w:rsid w:val="064A0E92"/>
    <w:rsid w:val="06A22357"/>
    <w:rsid w:val="06A85D77"/>
    <w:rsid w:val="07683FB9"/>
    <w:rsid w:val="07770B7F"/>
    <w:rsid w:val="0810131D"/>
    <w:rsid w:val="08413236"/>
    <w:rsid w:val="08FC019B"/>
    <w:rsid w:val="09025989"/>
    <w:rsid w:val="09411A50"/>
    <w:rsid w:val="099E328F"/>
    <w:rsid w:val="09A828EF"/>
    <w:rsid w:val="0A863C7A"/>
    <w:rsid w:val="0B2F7E5B"/>
    <w:rsid w:val="0B3568A8"/>
    <w:rsid w:val="0B95763C"/>
    <w:rsid w:val="0C3B7EEE"/>
    <w:rsid w:val="0C3C6E3C"/>
    <w:rsid w:val="0C3D3A71"/>
    <w:rsid w:val="0C5C34DA"/>
    <w:rsid w:val="0D413D25"/>
    <w:rsid w:val="0D442DD2"/>
    <w:rsid w:val="0D974D3C"/>
    <w:rsid w:val="0DA53114"/>
    <w:rsid w:val="0DC2736A"/>
    <w:rsid w:val="0E1944CF"/>
    <w:rsid w:val="0EB43F87"/>
    <w:rsid w:val="0F492A38"/>
    <w:rsid w:val="100325DD"/>
    <w:rsid w:val="103A26D9"/>
    <w:rsid w:val="10530D4E"/>
    <w:rsid w:val="108005C5"/>
    <w:rsid w:val="11132B94"/>
    <w:rsid w:val="119F2CCD"/>
    <w:rsid w:val="12232049"/>
    <w:rsid w:val="1255294A"/>
    <w:rsid w:val="12632A4F"/>
    <w:rsid w:val="127B6DDF"/>
    <w:rsid w:val="13135720"/>
    <w:rsid w:val="131A1208"/>
    <w:rsid w:val="133C381C"/>
    <w:rsid w:val="134874D7"/>
    <w:rsid w:val="13516249"/>
    <w:rsid w:val="138D2FBB"/>
    <w:rsid w:val="13E42C19"/>
    <w:rsid w:val="14100BCE"/>
    <w:rsid w:val="14366F0D"/>
    <w:rsid w:val="14421EFD"/>
    <w:rsid w:val="147309A5"/>
    <w:rsid w:val="15A81822"/>
    <w:rsid w:val="15B80B5A"/>
    <w:rsid w:val="15E24CC8"/>
    <w:rsid w:val="16636489"/>
    <w:rsid w:val="1682618A"/>
    <w:rsid w:val="16892C8C"/>
    <w:rsid w:val="169A1852"/>
    <w:rsid w:val="16D73E21"/>
    <w:rsid w:val="16ED44ED"/>
    <w:rsid w:val="1721380E"/>
    <w:rsid w:val="17B6624E"/>
    <w:rsid w:val="17DE0B09"/>
    <w:rsid w:val="17FB10C5"/>
    <w:rsid w:val="18416B05"/>
    <w:rsid w:val="18421546"/>
    <w:rsid w:val="1909314A"/>
    <w:rsid w:val="193233BB"/>
    <w:rsid w:val="1945104C"/>
    <w:rsid w:val="195C5B9C"/>
    <w:rsid w:val="198959F8"/>
    <w:rsid w:val="19D14574"/>
    <w:rsid w:val="1AEE7888"/>
    <w:rsid w:val="1B3F2628"/>
    <w:rsid w:val="1B533341"/>
    <w:rsid w:val="1BCC3AFE"/>
    <w:rsid w:val="1BD36CC6"/>
    <w:rsid w:val="1C0C0A3E"/>
    <w:rsid w:val="1C460F45"/>
    <w:rsid w:val="1C571B1B"/>
    <w:rsid w:val="1C893745"/>
    <w:rsid w:val="1CBD6E83"/>
    <w:rsid w:val="1CBE2964"/>
    <w:rsid w:val="1D235773"/>
    <w:rsid w:val="1D4C73EC"/>
    <w:rsid w:val="1D733FD4"/>
    <w:rsid w:val="1D845E1E"/>
    <w:rsid w:val="1E0A7720"/>
    <w:rsid w:val="1E0B27D1"/>
    <w:rsid w:val="1E1A6ECE"/>
    <w:rsid w:val="1E323373"/>
    <w:rsid w:val="1F2F6463"/>
    <w:rsid w:val="2137507B"/>
    <w:rsid w:val="21757D9A"/>
    <w:rsid w:val="217C1150"/>
    <w:rsid w:val="218549CF"/>
    <w:rsid w:val="219A19A4"/>
    <w:rsid w:val="21E863C5"/>
    <w:rsid w:val="22413EEC"/>
    <w:rsid w:val="22EE2D14"/>
    <w:rsid w:val="23161A4B"/>
    <w:rsid w:val="233420E8"/>
    <w:rsid w:val="233B65CE"/>
    <w:rsid w:val="236A1392"/>
    <w:rsid w:val="237D188E"/>
    <w:rsid w:val="2419690F"/>
    <w:rsid w:val="24CD14A7"/>
    <w:rsid w:val="24D813AB"/>
    <w:rsid w:val="25153B9D"/>
    <w:rsid w:val="25B52667"/>
    <w:rsid w:val="26E240F8"/>
    <w:rsid w:val="274E0EFD"/>
    <w:rsid w:val="2755050F"/>
    <w:rsid w:val="276F73E1"/>
    <w:rsid w:val="27BC44BB"/>
    <w:rsid w:val="28C2361B"/>
    <w:rsid w:val="290154A7"/>
    <w:rsid w:val="29376AD1"/>
    <w:rsid w:val="299C2F97"/>
    <w:rsid w:val="29D60A8E"/>
    <w:rsid w:val="29F710CB"/>
    <w:rsid w:val="2A3D0E7D"/>
    <w:rsid w:val="2A533DC6"/>
    <w:rsid w:val="2ACD5DE8"/>
    <w:rsid w:val="2AD43590"/>
    <w:rsid w:val="2B043B85"/>
    <w:rsid w:val="2B564BC3"/>
    <w:rsid w:val="2C6E758E"/>
    <w:rsid w:val="2D276E68"/>
    <w:rsid w:val="2D535249"/>
    <w:rsid w:val="2D610F10"/>
    <w:rsid w:val="2D97481E"/>
    <w:rsid w:val="2E5907D4"/>
    <w:rsid w:val="2ED23003"/>
    <w:rsid w:val="2ED73DE1"/>
    <w:rsid w:val="2F74340F"/>
    <w:rsid w:val="2FCF12ED"/>
    <w:rsid w:val="30DC3260"/>
    <w:rsid w:val="3111588B"/>
    <w:rsid w:val="314F00B5"/>
    <w:rsid w:val="31860AC3"/>
    <w:rsid w:val="31BD5D52"/>
    <w:rsid w:val="31D257E8"/>
    <w:rsid w:val="32344A7B"/>
    <w:rsid w:val="32FD0D65"/>
    <w:rsid w:val="335F53C3"/>
    <w:rsid w:val="33902CBB"/>
    <w:rsid w:val="33BA51BE"/>
    <w:rsid w:val="34462361"/>
    <w:rsid w:val="34C025A6"/>
    <w:rsid w:val="35690D31"/>
    <w:rsid w:val="35D01112"/>
    <w:rsid w:val="36503E02"/>
    <w:rsid w:val="36CC0DAC"/>
    <w:rsid w:val="36F761A2"/>
    <w:rsid w:val="3725688F"/>
    <w:rsid w:val="372C097E"/>
    <w:rsid w:val="373D5CAD"/>
    <w:rsid w:val="3776146E"/>
    <w:rsid w:val="37E61993"/>
    <w:rsid w:val="38204DCF"/>
    <w:rsid w:val="382945EF"/>
    <w:rsid w:val="384771BB"/>
    <w:rsid w:val="38674AB4"/>
    <w:rsid w:val="39527C8B"/>
    <w:rsid w:val="396731FA"/>
    <w:rsid w:val="39D94555"/>
    <w:rsid w:val="3A2C6756"/>
    <w:rsid w:val="3A887EF3"/>
    <w:rsid w:val="3AE32B09"/>
    <w:rsid w:val="3B911900"/>
    <w:rsid w:val="3BF20579"/>
    <w:rsid w:val="3CA1668E"/>
    <w:rsid w:val="3CDF5461"/>
    <w:rsid w:val="3D12316D"/>
    <w:rsid w:val="3D2B2D21"/>
    <w:rsid w:val="3D2D05FE"/>
    <w:rsid w:val="3D3C7850"/>
    <w:rsid w:val="3DBB2F63"/>
    <w:rsid w:val="3E0D0694"/>
    <w:rsid w:val="3F7C7497"/>
    <w:rsid w:val="3FE756BB"/>
    <w:rsid w:val="402D3CDF"/>
    <w:rsid w:val="40C62169"/>
    <w:rsid w:val="413E5A8B"/>
    <w:rsid w:val="419E484D"/>
    <w:rsid w:val="41A315B0"/>
    <w:rsid w:val="41B01E29"/>
    <w:rsid w:val="41BB6724"/>
    <w:rsid w:val="41DF5CD9"/>
    <w:rsid w:val="42167809"/>
    <w:rsid w:val="423621B2"/>
    <w:rsid w:val="426B3F94"/>
    <w:rsid w:val="432B14AA"/>
    <w:rsid w:val="436E11B7"/>
    <w:rsid w:val="438435DE"/>
    <w:rsid w:val="43B62116"/>
    <w:rsid w:val="43E839E2"/>
    <w:rsid w:val="44A2053D"/>
    <w:rsid w:val="453D2B59"/>
    <w:rsid w:val="45667EF5"/>
    <w:rsid w:val="456A6475"/>
    <w:rsid w:val="45854C03"/>
    <w:rsid w:val="45A5093C"/>
    <w:rsid w:val="45D221FD"/>
    <w:rsid w:val="46226641"/>
    <w:rsid w:val="46333408"/>
    <w:rsid w:val="46615B98"/>
    <w:rsid w:val="46900C6D"/>
    <w:rsid w:val="46A1516E"/>
    <w:rsid w:val="46BF6DF1"/>
    <w:rsid w:val="46DB520F"/>
    <w:rsid w:val="46F7433F"/>
    <w:rsid w:val="47246349"/>
    <w:rsid w:val="47275603"/>
    <w:rsid w:val="47482C57"/>
    <w:rsid w:val="47585962"/>
    <w:rsid w:val="4770550E"/>
    <w:rsid w:val="47A63AF6"/>
    <w:rsid w:val="47E76249"/>
    <w:rsid w:val="48BD0E98"/>
    <w:rsid w:val="48D0488A"/>
    <w:rsid w:val="49337C20"/>
    <w:rsid w:val="49786B50"/>
    <w:rsid w:val="49C5081B"/>
    <w:rsid w:val="4A4B206B"/>
    <w:rsid w:val="4A6E414B"/>
    <w:rsid w:val="4AA00B9F"/>
    <w:rsid w:val="4AC43278"/>
    <w:rsid w:val="4BA34B8C"/>
    <w:rsid w:val="4BC1084B"/>
    <w:rsid w:val="4BD32339"/>
    <w:rsid w:val="4BDE71E6"/>
    <w:rsid w:val="4C5145E8"/>
    <w:rsid w:val="4C547695"/>
    <w:rsid w:val="4C5C3213"/>
    <w:rsid w:val="4CF15983"/>
    <w:rsid w:val="4CFE6D82"/>
    <w:rsid w:val="4D2C0BB1"/>
    <w:rsid w:val="4D851BA3"/>
    <w:rsid w:val="4D8C464B"/>
    <w:rsid w:val="4DB5619E"/>
    <w:rsid w:val="4DD27FEC"/>
    <w:rsid w:val="4E327002"/>
    <w:rsid w:val="4E942362"/>
    <w:rsid w:val="4EFF7A7E"/>
    <w:rsid w:val="4FE13563"/>
    <w:rsid w:val="50267A02"/>
    <w:rsid w:val="50AF4A97"/>
    <w:rsid w:val="50AF5D81"/>
    <w:rsid w:val="51A91C15"/>
    <w:rsid w:val="51A95DF8"/>
    <w:rsid w:val="51C35C7A"/>
    <w:rsid w:val="5263404A"/>
    <w:rsid w:val="52880BB2"/>
    <w:rsid w:val="52E37F64"/>
    <w:rsid w:val="532760A3"/>
    <w:rsid w:val="533C50BB"/>
    <w:rsid w:val="53AE77D0"/>
    <w:rsid w:val="54074C93"/>
    <w:rsid w:val="5425256C"/>
    <w:rsid w:val="54DA7352"/>
    <w:rsid w:val="554A2BC3"/>
    <w:rsid w:val="559924AD"/>
    <w:rsid w:val="55B0605F"/>
    <w:rsid w:val="56682C5A"/>
    <w:rsid w:val="5695668F"/>
    <w:rsid w:val="56AF3B89"/>
    <w:rsid w:val="56BE047A"/>
    <w:rsid w:val="56DB15CA"/>
    <w:rsid w:val="56E53586"/>
    <w:rsid w:val="575D40E2"/>
    <w:rsid w:val="57DE07FB"/>
    <w:rsid w:val="581D3503"/>
    <w:rsid w:val="596F60AE"/>
    <w:rsid w:val="599958ED"/>
    <w:rsid w:val="5A0779D9"/>
    <w:rsid w:val="5A522504"/>
    <w:rsid w:val="5A5B0A60"/>
    <w:rsid w:val="5A6F61DD"/>
    <w:rsid w:val="5A7E03E2"/>
    <w:rsid w:val="5B443F86"/>
    <w:rsid w:val="5BF85C5A"/>
    <w:rsid w:val="5CA57D65"/>
    <w:rsid w:val="5CD14624"/>
    <w:rsid w:val="5D5175BD"/>
    <w:rsid w:val="5D79399F"/>
    <w:rsid w:val="5D9F0E42"/>
    <w:rsid w:val="5DCF35BF"/>
    <w:rsid w:val="5E203FD8"/>
    <w:rsid w:val="5E307724"/>
    <w:rsid w:val="5E3F1A4D"/>
    <w:rsid w:val="5E577B39"/>
    <w:rsid w:val="5E61031A"/>
    <w:rsid w:val="5F2F42B1"/>
    <w:rsid w:val="5FAE6E33"/>
    <w:rsid w:val="60532D28"/>
    <w:rsid w:val="60655948"/>
    <w:rsid w:val="608763D3"/>
    <w:rsid w:val="61A55DDB"/>
    <w:rsid w:val="62402CDD"/>
    <w:rsid w:val="628B2093"/>
    <w:rsid w:val="62944154"/>
    <w:rsid w:val="63525291"/>
    <w:rsid w:val="63A97B25"/>
    <w:rsid w:val="63C416EC"/>
    <w:rsid w:val="640176C2"/>
    <w:rsid w:val="64257C30"/>
    <w:rsid w:val="64327E76"/>
    <w:rsid w:val="64AD57C0"/>
    <w:rsid w:val="65BD181C"/>
    <w:rsid w:val="663D053D"/>
    <w:rsid w:val="663D7AE8"/>
    <w:rsid w:val="666D0235"/>
    <w:rsid w:val="66813BF5"/>
    <w:rsid w:val="670A2A2F"/>
    <w:rsid w:val="674C7269"/>
    <w:rsid w:val="67C73E49"/>
    <w:rsid w:val="680C6091"/>
    <w:rsid w:val="68157561"/>
    <w:rsid w:val="68392098"/>
    <w:rsid w:val="689664A5"/>
    <w:rsid w:val="689959FA"/>
    <w:rsid w:val="69603FCE"/>
    <w:rsid w:val="69720528"/>
    <w:rsid w:val="6A1C64EF"/>
    <w:rsid w:val="6A2A5B96"/>
    <w:rsid w:val="6A2D013A"/>
    <w:rsid w:val="6B9B53BC"/>
    <w:rsid w:val="6C060AF4"/>
    <w:rsid w:val="6C9762B0"/>
    <w:rsid w:val="6D15488A"/>
    <w:rsid w:val="6D3415EF"/>
    <w:rsid w:val="6D485A39"/>
    <w:rsid w:val="6D6F633A"/>
    <w:rsid w:val="6D743D41"/>
    <w:rsid w:val="6DBB590E"/>
    <w:rsid w:val="6E103BF6"/>
    <w:rsid w:val="6E6711F9"/>
    <w:rsid w:val="6ED4392E"/>
    <w:rsid w:val="6F365F81"/>
    <w:rsid w:val="6FD63D73"/>
    <w:rsid w:val="6FDE0860"/>
    <w:rsid w:val="702459EC"/>
    <w:rsid w:val="70B84386"/>
    <w:rsid w:val="717C3606"/>
    <w:rsid w:val="71D919AF"/>
    <w:rsid w:val="72223DBE"/>
    <w:rsid w:val="72D745F7"/>
    <w:rsid w:val="72FF4B83"/>
    <w:rsid w:val="736F64F0"/>
    <w:rsid w:val="73990907"/>
    <w:rsid w:val="74001506"/>
    <w:rsid w:val="74097D93"/>
    <w:rsid w:val="74855EA2"/>
    <w:rsid w:val="74F57BC8"/>
    <w:rsid w:val="75752C92"/>
    <w:rsid w:val="76670BE4"/>
    <w:rsid w:val="77591BBC"/>
    <w:rsid w:val="77AB00D1"/>
    <w:rsid w:val="77BD711E"/>
    <w:rsid w:val="78164A1F"/>
    <w:rsid w:val="784F2E3E"/>
    <w:rsid w:val="78C75C5B"/>
    <w:rsid w:val="78FF21B1"/>
    <w:rsid w:val="79095274"/>
    <w:rsid w:val="790E7239"/>
    <w:rsid w:val="7947275C"/>
    <w:rsid w:val="79704953"/>
    <w:rsid w:val="79BB7F30"/>
    <w:rsid w:val="7A291398"/>
    <w:rsid w:val="7A876A5C"/>
    <w:rsid w:val="7B24172C"/>
    <w:rsid w:val="7B3328F2"/>
    <w:rsid w:val="7B5C60EA"/>
    <w:rsid w:val="7C8621EA"/>
    <w:rsid w:val="7CFE576A"/>
    <w:rsid w:val="7D14444C"/>
    <w:rsid w:val="7D6013BD"/>
    <w:rsid w:val="7DA57D26"/>
    <w:rsid w:val="7E4F014C"/>
    <w:rsid w:val="7EAA1A5C"/>
    <w:rsid w:val="7F5E3A65"/>
    <w:rsid w:val="7FBE13A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33"/>
    <w:qFormat/>
    <w:uiPriority w:val="0"/>
    <w:pPr>
      <w:widowControl/>
      <w:spacing w:before="100" w:beforeAutospacing="1" w:after="100" w:afterAutospacing="1"/>
      <w:jc w:val="left"/>
      <w:outlineLvl w:val="0"/>
    </w:pPr>
    <w:rPr>
      <w:rFonts w:ascii="宋体" w:hAnsi="宋体" w:cs="宋体"/>
      <w:b/>
      <w:bCs/>
      <w:kern w:val="36"/>
      <w:sz w:val="48"/>
      <w:szCs w:val="48"/>
    </w:rPr>
  </w:style>
  <w:style w:type="character" w:default="1" w:styleId="11">
    <w:name w:val="Default Paragraph Font"/>
    <w:unhideWhenUsed/>
    <w:qFormat/>
    <w:uiPriority w:val="1"/>
  </w:style>
  <w:style w:type="table" w:default="1" w:styleId="10">
    <w:name w:val="Normal Table"/>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2">
    <w:name w:val="footer"/>
    <w:basedOn w:val="1"/>
    <w:link w:val="27"/>
    <w:qFormat/>
    <w:uiPriority w:val="0"/>
    <w:pPr>
      <w:tabs>
        <w:tab w:val="center" w:pos="4153"/>
        <w:tab w:val="right" w:pos="8306"/>
      </w:tabs>
      <w:snapToGrid w:val="0"/>
      <w:jc w:val="left"/>
    </w:pPr>
    <w:rPr>
      <w:sz w:val="18"/>
      <w:szCs w:val="18"/>
    </w:rPr>
  </w:style>
  <w:style w:type="paragraph" w:styleId="4">
    <w:name w:val="annotation text"/>
    <w:basedOn w:val="1"/>
    <w:link w:val="25"/>
    <w:semiHidden/>
    <w:qFormat/>
    <w:uiPriority w:val="0"/>
    <w:pPr>
      <w:jc w:val="left"/>
    </w:pPr>
  </w:style>
  <w:style w:type="paragraph" w:styleId="5">
    <w:name w:val="Plain Text"/>
    <w:basedOn w:val="1"/>
    <w:link w:val="28"/>
    <w:qFormat/>
    <w:uiPriority w:val="0"/>
    <w:pPr>
      <w:keepNext w:val="0"/>
      <w:keepLines w:val="0"/>
      <w:widowControl w:val="0"/>
      <w:suppressLineNumbers w:val="0"/>
      <w:spacing w:before="0" w:beforeAutospacing="0" w:after="0" w:afterAutospacing="0"/>
      <w:ind w:left="0" w:right="0"/>
      <w:jc w:val="both"/>
    </w:pPr>
    <w:rPr>
      <w:rFonts w:hint="eastAsia" w:ascii="宋体" w:hAnsi="Courier New" w:eastAsia="宋体" w:cs="Courier New"/>
      <w:kern w:val="2"/>
      <w:sz w:val="21"/>
      <w:szCs w:val="21"/>
      <w:lang w:val="en-US" w:eastAsia="zh-CN" w:bidi="ar"/>
    </w:rPr>
  </w:style>
  <w:style w:type="paragraph" w:styleId="6">
    <w:name w:val="Balloon Text"/>
    <w:basedOn w:val="1"/>
    <w:link w:val="30"/>
    <w:semiHidden/>
    <w:qFormat/>
    <w:uiPriority w:val="0"/>
    <w:rPr>
      <w:sz w:val="18"/>
      <w:szCs w:val="18"/>
    </w:rPr>
  </w:style>
  <w:style w:type="paragraph" w:styleId="7">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99"/>
    <w:pPr>
      <w:spacing w:before="100" w:beforeAutospacing="1" w:after="100" w:afterAutospacing="1"/>
      <w:jc w:val="left"/>
    </w:pPr>
    <w:rPr>
      <w:kern w:val="0"/>
      <w:sz w:val="24"/>
    </w:rPr>
  </w:style>
  <w:style w:type="paragraph" w:styleId="9">
    <w:name w:val="annotation subject"/>
    <w:basedOn w:val="4"/>
    <w:next w:val="4"/>
    <w:link w:val="21"/>
    <w:semiHidden/>
    <w:qFormat/>
    <w:uiPriority w:val="0"/>
    <w:rPr>
      <w:b/>
      <w:bCs/>
    </w:rPr>
  </w:style>
  <w:style w:type="character" w:styleId="12">
    <w:name w:val="page number"/>
    <w:basedOn w:val="11"/>
    <w:qFormat/>
    <w:uiPriority w:val="0"/>
  </w:style>
  <w:style w:type="character" w:styleId="13">
    <w:name w:val="FollowedHyperlink"/>
    <w:qFormat/>
    <w:uiPriority w:val="0"/>
    <w:rPr>
      <w:color w:val="333333"/>
      <w:u w:val="none"/>
      <w:vertAlign w:val="baseline"/>
    </w:rPr>
  </w:style>
  <w:style w:type="character" w:styleId="14">
    <w:name w:val="Emphasis"/>
    <w:qFormat/>
    <w:uiPriority w:val="0"/>
    <w:rPr>
      <w:vertAlign w:val="baseline"/>
    </w:rPr>
  </w:style>
  <w:style w:type="character" w:styleId="15">
    <w:name w:val="Hyperlink"/>
    <w:qFormat/>
    <w:uiPriority w:val="0"/>
    <w:rPr>
      <w:color w:val="333333"/>
      <w:u w:val="none"/>
      <w:vertAlign w:val="baseline"/>
    </w:rPr>
  </w:style>
  <w:style w:type="character" w:styleId="16">
    <w:name w:val="HTML Code"/>
    <w:qFormat/>
    <w:uiPriority w:val="0"/>
    <w:rPr>
      <w:rFonts w:ascii="Courier New" w:hAnsi="Courier New"/>
      <w:sz w:val="20"/>
      <w:vertAlign w:val="baseline"/>
    </w:rPr>
  </w:style>
  <w:style w:type="character" w:styleId="17">
    <w:name w:val="annotation reference"/>
    <w:semiHidden/>
    <w:qFormat/>
    <w:uiPriority w:val="0"/>
    <w:rPr>
      <w:sz w:val="21"/>
      <w:szCs w:val="21"/>
    </w:rPr>
  </w:style>
  <w:style w:type="character" w:customStyle="1" w:styleId="18">
    <w:name w:val="first-child"/>
    <w:basedOn w:val="11"/>
    <w:qFormat/>
    <w:uiPriority w:val="0"/>
  </w:style>
  <w:style w:type="character" w:customStyle="1" w:styleId="19">
    <w:name w:val="l-btn-left"/>
    <w:basedOn w:val="11"/>
    <w:qFormat/>
    <w:uiPriority w:val="0"/>
  </w:style>
  <w:style w:type="character" w:customStyle="1" w:styleId="20">
    <w:name w:val="style11"/>
    <w:qFormat/>
    <w:uiPriority w:val="0"/>
    <w:rPr>
      <w:b/>
      <w:bCs/>
      <w:color w:val="D54F2B"/>
      <w:sz w:val="19"/>
      <w:szCs w:val="19"/>
    </w:rPr>
  </w:style>
  <w:style w:type="character" w:customStyle="1" w:styleId="21">
    <w:name w:val="批注主题 Char"/>
    <w:link w:val="9"/>
    <w:qFormat/>
    <w:uiPriority w:val="0"/>
    <w:rPr>
      <w:rFonts w:hint="default" w:ascii="Times New Roman" w:hAnsi="Times New Roman" w:eastAsia="宋体" w:cs="Times New Roman"/>
      <w:b/>
      <w:kern w:val="2"/>
      <w:sz w:val="21"/>
      <w:szCs w:val="24"/>
    </w:rPr>
  </w:style>
  <w:style w:type="character" w:customStyle="1" w:styleId="22">
    <w:name w:val="页眉 Char"/>
    <w:link w:val="7"/>
    <w:qFormat/>
    <w:uiPriority w:val="0"/>
    <w:rPr>
      <w:kern w:val="2"/>
      <w:sz w:val="18"/>
      <w:szCs w:val="18"/>
    </w:rPr>
  </w:style>
  <w:style w:type="character" w:customStyle="1" w:styleId="23">
    <w:name w:val="l-btn-text"/>
    <w:basedOn w:val="11"/>
    <w:qFormat/>
    <w:uiPriority w:val="0"/>
  </w:style>
  <w:style w:type="character" w:customStyle="1" w:styleId="24">
    <w:name w:val="l-btn-left3"/>
    <w:basedOn w:val="11"/>
    <w:qFormat/>
    <w:uiPriority w:val="0"/>
  </w:style>
  <w:style w:type="character" w:customStyle="1" w:styleId="25">
    <w:name w:val="批注文字 Char"/>
    <w:link w:val="4"/>
    <w:qFormat/>
    <w:uiPriority w:val="0"/>
    <w:rPr>
      <w:kern w:val="2"/>
      <w:sz w:val="21"/>
      <w:szCs w:val="22"/>
    </w:rPr>
  </w:style>
  <w:style w:type="character" w:customStyle="1" w:styleId="26">
    <w:name w:val="l-btn-left2"/>
    <w:basedOn w:val="11"/>
    <w:qFormat/>
    <w:uiPriority w:val="0"/>
  </w:style>
  <w:style w:type="character" w:customStyle="1" w:styleId="27">
    <w:name w:val="页脚 Char"/>
    <w:link w:val="2"/>
    <w:qFormat/>
    <w:uiPriority w:val="0"/>
    <w:rPr>
      <w:kern w:val="2"/>
      <w:sz w:val="18"/>
      <w:szCs w:val="18"/>
    </w:rPr>
  </w:style>
  <w:style w:type="character" w:customStyle="1" w:styleId="28">
    <w:name w:val="纯文本 Char"/>
    <w:link w:val="5"/>
    <w:qFormat/>
    <w:uiPriority w:val="0"/>
    <w:rPr>
      <w:rFonts w:hint="eastAsia" w:ascii="宋体" w:hAnsi="Courier New" w:eastAsia="宋体" w:cs="Courier New"/>
      <w:kern w:val="2"/>
      <w:sz w:val="21"/>
      <w:szCs w:val="21"/>
    </w:rPr>
  </w:style>
  <w:style w:type="character" w:customStyle="1" w:styleId="29">
    <w:name w:val="l-btn-left1"/>
    <w:basedOn w:val="11"/>
    <w:qFormat/>
    <w:uiPriority w:val="0"/>
  </w:style>
  <w:style w:type="character" w:customStyle="1" w:styleId="30">
    <w:name w:val="批注框文本 Char"/>
    <w:link w:val="6"/>
    <w:qFormat/>
    <w:uiPriority w:val="0"/>
    <w:rPr>
      <w:rFonts w:hint="default" w:ascii="Times New Roman" w:hAnsi="Times New Roman" w:eastAsia="宋体" w:cs="Times New Roman"/>
      <w:kern w:val="2"/>
      <w:sz w:val="18"/>
      <w:szCs w:val="18"/>
    </w:rPr>
  </w:style>
  <w:style w:type="character" w:customStyle="1" w:styleId="31">
    <w:name w:val="l-btn-empty"/>
    <w:basedOn w:val="11"/>
    <w:qFormat/>
    <w:uiPriority w:val="0"/>
  </w:style>
  <w:style w:type="character" w:customStyle="1" w:styleId="32">
    <w:name w:val="layui-this"/>
    <w:qFormat/>
    <w:uiPriority w:val="0"/>
    <w:rPr>
      <w:bdr w:val="single" w:color="EEEEEE" w:sz="6" w:space="0"/>
      <w:shd w:val="clear" w:color="auto" w:fill="FFFFFF"/>
    </w:rPr>
  </w:style>
  <w:style w:type="character" w:customStyle="1" w:styleId="33">
    <w:name w:val="标题 1 Char"/>
    <w:link w:val="3"/>
    <w:qFormat/>
    <w:uiPriority w:val="0"/>
    <w:rPr>
      <w:rFonts w:hint="eastAsia" w:ascii="宋体" w:hAnsi="宋体" w:eastAsia="宋体" w:cs="宋体"/>
      <w:b/>
      <w:kern w:val="36"/>
      <w:sz w:val="48"/>
      <w:szCs w:val="48"/>
    </w:rPr>
  </w:style>
  <w:style w:type="paragraph" w:customStyle="1" w:styleId="34">
    <w:name w:val="1"/>
    <w:basedOn w:val="1"/>
    <w:next w:val="5"/>
    <w:qFormat/>
    <w:uiPriority w:val="0"/>
    <w:pPr>
      <w:keepNext w:val="0"/>
      <w:keepLines w:val="0"/>
      <w:widowControl w:val="0"/>
      <w:suppressLineNumbers w:val="0"/>
      <w:spacing w:before="0" w:beforeAutospacing="0" w:after="0" w:afterAutospacing="0"/>
      <w:ind w:left="0" w:right="0"/>
      <w:jc w:val="both"/>
    </w:pPr>
    <w:rPr>
      <w:rFonts w:hint="eastAsia" w:ascii="宋体" w:hAnsi="Courier New" w:eastAsia="宋体" w:cs="Times New Roman"/>
      <w:kern w:val="2"/>
      <w:sz w:val="21"/>
      <w:szCs w:val="20"/>
      <w:lang w:val="en-US" w:eastAsia="zh-CN" w:bidi="ar"/>
    </w:rPr>
  </w:style>
  <w:style w:type="paragraph" w:customStyle="1" w:styleId="35">
    <w:name w:val="List Paragraph"/>
    <w:basedOn w:val="1"/>
    <w:qFormat/>
    <w:uiPriority w:val="99"/>
    <w:pPr>
      <w:ind w:firstLine="420" w:firstLineChars="200"/>
    </w:pPr>
  </w:style>
  <w:style w:type="paragraph" w:customStyle="1" w:styleId="36">
    <w:name w:val="列表段落1"/>
    <w:basedOn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Times New Roman"/>
      <w:kern w:val="2"/>
      <w:sz w:val="21"/>
      <w:szCs w:val="22"/>
      <w:lang w:val="en-US" w:eastAsia="zh-CN" w:bidi="ar"/>
    </w:rPr>
  </w:style>
  <w:style w:type="paragraph" w:customStyle="1" w:styleId="37">
    <w:name w:val="正文段"/>
    <w:basedOn w:val="1"/>
    <w:qFormat/>
    <w:uiPriority w:val="0"/>
    <w:pPr>
      <w:keepNext w:val="0"/>
      <w:keepLines w:val="0"/>
      <w:widowControl/>
      <w:suppressLineNumbers w:val="0"/>
      <w:snapToGrid w:val="0"/>
      <w:spacing w:before="0" w:beforeAutospacing="0" w:after="0" w:afterAutospacing="0"/>
      <w:ind w:left="0" w:right="0" w:firstLine="200" w:firstLineChars="200"/>
      <w:jc w:val="both"/>
    </w:pPr>
    <w:rPr>
      <w:rFonts w:hint="default" w:ascii="Times New Roman" w:hAnsi="Times New Roman" w:eastAsia="宋体" w:cs="Times New Roman"/>
      <w:kern w:val="0"/>
      <w:sz w:val="24"/>
      <w:szCs w:val="20"/>
      <w:lang w:val="en-US" w:eastAsia="zh-CN" w:bidi="ar"/>
    </w:rPr>
  </w:style>
  <w:style w:type="paragraph" w:customStyle="1" w:styleId="38">
    <w:name w:val="列出段落1"/>
    <w:basedOn w:val="1"/>
    <w:qFormat/>
    <w:uiPriority w:val="34"/>
    <w:pPr>
      <w:ind w:firstLine="420" w:firstLineChars="200"/>
    </w:pPr>
  </w:style>
  <w:style w:type="table" w:customStyle="1" w:styleId="39">
    <w:name w:val="Table Normal"/>
    <w:unhideWhenUsed/>
    <w:qFormat/>
    <w:uiPriority w:val="0"/>
    <w:rPr>
      <w:lang w:val="en-US" w:eastAsia="zh-CN" w:bidi="ar-SA"/>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 China</Company>
  <Pages>4</Pages>
  <Words>3377</Words>
  <Characters>3609</Characters>
  <Lines>115</Lines>
  <Paragraphs>32</Paragraphs>
  <TotalTime>86</TotalTime>
  <ScaleCrop>false</ScaleCrop>
  <LinksUpToDate>false</LinksUpToDate>
  <CharactersWithSpaces>3632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2023-02-08T06:19:00Z</dcterms:created>
  <dc:creator>smw</dc:creator>
  <cp:lastModifiedBy>WPS_1601961491</cp:lastModifiedBy>
  <cp:lastPrinted>2024-09-06T02:06:00Z</cp:lastPrinted>
  <dcterms:modified xsi:type="dcterms:W3CDTF">2025-12-22T06:48:40Z</dcterms:modified>
  <dc:title>桐庐县城浮桥埠区块桥北路（二标）北侧山体边坡整治工程</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64E845F3A18B4352BF8DBE781B66CBD6_13</vt:lpwstr>
  </property>
  <property fmtid="{D5CDD505-2E9C-101B-9397-08002B2CF9AE}" pid="4" name="KSOTemplateDocerSaveRecord">
    <vt:lpwstr>eyJoZGlkIjoiYzkxNmJmYjNhZjJiNjRlMjJhNmYyNGU3MzNlNzM0YzUiLCJ1c2VySWQiOiIxMTI3NzgzOTUxIn0=</vt:lpwstr>
  </property>
</Properties>
</file>