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20"/>
          <w:tab w:val="left" w:pos="8280"/>
        </w:tabs>
        <w:ind w:left="974" w:leftChars="464" w:right="1260" w:rightChars="600"/>
        <w:jc w:val="center"/>
        <w:rPr>
          <w:rFonts w:hint="eastAsia"/>
          <w:b/>
          <w:bCs/>
          <w:color w:val="auto"/>
          <w:sz w:val="32"/>
        </w:rPr>
      </w:pPr>
      <w:r>
        <w:rPr>
          <w:rFonts w:hint="eastAsia"/>
          <w:b/>
          <w:bCs/>
          <w:color w:val="auto"/>
          <w:sz w:val="32"/>
        </w:rPr>
        <w:t>金湖小区商铺屋顶漏水改造工程（招标控制价）编制说明</w:t>
      </w:r>
    </w:p>
    <w:p>
      <w:pPr>
        <w:numPr>
          <w:ilvl w:val="0"/>
          <w:numId w:val="1"/>
        </w:numPr>
        <w:spacing w:line="360" w:lineRule="auto"/>
        <w:rPr>
          <w:rFonts w:hint="eastAsia"/>
          <w:b/>
          <w:color w:val="auto"/>
          <w:sz w:val="24"/>
        </w:rPr>
      </w:pPr>
      <w:r>
        <w:rPr>
          <w:rFonts w:hint="eastAsia"/>
          <w:b/>
          <w:color w:val="auto"/>
          <w:sz w:val="24"/>
        </w:rPr>
        <w:t>工程概况</w:t>
      </w:r>
    </w:p>
    <w:p>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w:t>
      </w:r>
    </w:p>
    <w:p>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w:t>
      </w:r>
      <w:r>
        <w:rPr>
          <w:rFonts w:hint="eastAsia" w:ascii="Times New Roman" w:hAnsi="Times New Roman"/>
          <w:color w:val="auto"/>
          <w:kern w:val="2"/>
          <w:sz w:val="21"/>
          <w:szCs w:val="21"/>
        </w:rPr>
        <w:t>金湖小区商铺屋顶漏水改造工程</w:t>
      </w:r>
      <w:r>
        <w:rPr>
          <w:rFonts w:hint="eastAsia"/>
          <w:color w:val="auto"/>
          <w:kern w:val="2"/>
          <w:sz w:val="21"/>
          <w:szCs w:val="21"/>
          <w:lang w:eastAsia="zh-CN"/>
        </w:rPr>
        <w:t>，</w:t>
      </w:r>
      <w:r>
        <w:rPr>
          <w:rFonts w:hint="eastAsia"/>
          <w:color w:val="auto"/>
          <w:kern w:val="2"/>
          <w:sz w:val="21"/>
          <w:szCs w:val="21"/>
          <w:lang w:val="en-US" w:eastAsia="zh-CN"/>
        </w:rPr>
        <w:t>本工程包括屋顶漏水拆除新建、局部土石方外运、设备移位、新建立管等项目</w:t>
      </w:r>
    </w:p>
    <w:p>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pPr>
        <w:numPr>
          <w:ilvl w:val="0"/>
          <w:numId w:val="2"/>
        </w:numPr>
        <w:spacing w:line="360" w:lineRule="auto"/>
        <w:rPr>
          <w:rFonts w:hint="eastAsia"/>
          <w:color w:val="auto"/>
          <w:sz w:val="24"/>
        </w:rPr>
      </w:pPr>
      <w:r>
        <w:rPr>
          <w:rFonts w:hint="eastAsia"/>
          <w:b/>
          <w:color w:val="auto"/>
          <w:sz w:val="24"/>
        </w:rPr>
        <w:t>施工现场情况：</w:t>
      </w:r>
      <w:r>
        <w:rPr>
          <w:rFonts w:hint="eastAsia"/>
          <w:color w:val="auto"/>
          <w:szCs w:val="21"/>
        </w:rPr>
        <w:t>已完成三通一平；</w:t>
      </w:r>
    </w:p>
    <w:p>
      <w:pPr>
        <w:numPr>
          <w:ilvl w:val="0"/>
          <w:numId w:val="2"/>
        </w:numPr>
        <w:spacing w:line="360" w:lineRule="auto"/>
        <w:rPr>
          <w:rFonts w:hint="eastAsia"/>
          <w:color w:val="auto"/>
          <w:sz w:val="24"/>
        </w:rPr>
      </w:pPr>
      <w:r>
        <w:rPr>
          <w:rFonts w:hint="eastAsia"/>
          <w:b/>
          <w:color w:val="auto"/>
          <w:sz w:val="24"/>
        </w:rPr>
        <w:t>自然地理条件：</w:t>
      </w:r>
      <w:r>
        <w:rPr>
          <w:rFonts w:hint="eastAsia"/>
          <w:color w:val="auto"/>
          <w:szCs w:val="21"/>
        </w:rPr>
        <w:t>施工区域内降水、温度等正常，地势较为平坦，施工区域内无名贵、古树木等，；</w:t>
      </w:r>
    </w:p>
    <w:p>
      <w:pPr>
        <w:numPr>
          <w:ilvl w:val="0"/>
          <w:numId w:val="2"/>
        </w:numPr>
        <w:spacing w:line="360" w:lineRule="auto"/>
        <w:rPr>
          <w:rFonts w:hint="eastAsia"/>
          <w:color w:val="auto"/>
          <w:sz w:val="24"/>
        </w:rPr>
      </w:pPr>
      <w:r>
        <w:rPr>
          <w:rFonts w:hint="eastAsia"/>
          <w:b/>
          <w:color w:val="auto"/>
          <w:sz w:val="24"/>
        </w:rPr>
        <w:t>环境保护要求：</w:t>
      </w:r>
      <w:r>
        <w:rPr>
          <w:rFonts w:hint="eastAsia"/>
          <w:color w:val="auto"/>
          <w:szCs w:val="21"/>
        </w:rPr>
        <w:t>符合国家、省、市及工程所在地有关绿色施工，环境保护等要求。</w:t>
      </w:r>
    </w:p>
    <w:p>
      <w:pPr>
        <w:numPr>
          <w:ilvl w:val="0"/>
          <w:numId w:val="1"/>
        </w:numPr>
        <w:spacing w:line="360" w:lineRule="auto"/>
        <w:rPr>
          <w:rFonts w:hint="eastAsia"/>
          <w:b/>
          <w:color w:val="auto"/>
          <w:sz w:val="24"/>
        </w:rPr>
      </w:pPr>
      <w:r>
        <w:rPr>
          <w:rFonts w:hint="eastAsia"/>
          <w:b/>
          <w:color w:val="auto"/>
          <w:sz w:val="24"/>
        </w:rPr>
        <w:t>工程招标及分包范围：</w:t>
      </w:r>
    </w:p>
    <w:p>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p>
    <w:p>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建设工程设计文件：施工图</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25.10</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（2025.10）》</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val="en-US" w:eastAsia="zh-CN"/>
        </w:rPr>
        <w:t>其他相关资料；</w:t>
      </w:r>
    </w:p>
    <w:p>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pPr>
        <w:numPr>
          <w:ilvl w:val="0"/>
          <w:numId w:val="1"/>
        </w:numPr>
        <w:spacing w:line="360" w:lineRule="auto"/>
        <w:rPr>
          <w:rFonts w:hint="eastAsia"/>
          <w:color w:val="auto"/>
          <w:sz w:val="24"/>
        </w:rPr>
      </w:pPr>
      <w:r>
        <w:rPr>
          <w:rFonts w:hint="eastAsia"/>
          <w:b/>
          <w:color w:val="auto"/>
          <w:sz w:val="24"/>
        </w:rPr>
        <w:t>取费说明：</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招标控制价中安全文明施工费按《浙江省建设工程计价规则》（2018版）规定的市区一般工程相应费率中值取费；取费基数为人工费+机械费，建筑</w:t>
      </w:r>
      <w:r>
        <w:rPr>
          <w:rFonts w:hint="eastAsia" w:ascii="宋体" w:hAnsi="宋体" w:cs="宋体"/>
          <w:b/>
          <w:bCs/>
          <w:color w:val="auto"/>
          <w:sz w:val="24"/>
          <w:szCs w:val="24"/>
          <w:lang w:val="en-US" w:eastAsia="zh-CN"/>
        </w:rPr>
        <w:t>安全文明施工费费率为10.95%</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招标控制价中企业管理费（含安责险）按《浙江省建设工程计价规则》（2018版）规定的相应费率中值取费；取费基数为人工费+机械费，建筑</w:t>
      </w:r>
      <w:r>
        <w:rPr>
          <w:rFonts w:hint="eastAsia" w:ascii="宋体" w:hAnsi="宋体" w:cs="宋体"/>
          <w:b/>
          <w:bCs/>
          <w:color w:val="auto"/>
          <w:sz w:val="24"/>
          <w:szCs w:val="24"/>
          <w:lang w:val="en-US" w:eastAsia="zh-CN"/>
        </w:rPr>
        <w:t>企业管理费费率为16.9%</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规费按《浙江省建设工程计价规则》（2018版）规定取费，取费基数为人工费+机械费，建筑</w:t>
      </w:r>
      <w:r>
        <w:rPr>
          <w:rFonts w:hint="eastAsia" w:ascii="宋体" w:hAnsi="宋体" w:cs="宋体"/>
          <w:b/>
          <w:bCs/>
          <w:color w:val="auto"/>
          <w:sz w:val="24"/>
          <w:szCs w:val="24"/>
          <w:lang w:val="en-US" w:eastAsia="zh-CN"/>
        </w:rPr>
        <w:t>规费费率为25.78%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color w:val="auto"/>
          <w:sz w:val="24"/>
          <w:szCs w:val="24"/>
        </w:rPr>
      </w:pPr>
      <w:r>
        <w:rPr>
          <w:rFonts w:hint="eastAsia" w:ascii="宋体" w:hAnsi="宋体" w:cs="宋体"/>
          <w:color w:val="auto"/>
          <w:sz w:val="24"/>
          <w:szCs w:val="24"/>
          <w:lang w:val="en-US" w:eastAsia="zh-CN"/>
        </w:rPr>
        <w:t>投标人按现行政策文件要求报价 </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 </w:t>
      </w:r>
    </w:p>
    <w:p>
      <w:pPr>
        <w:pStyle w:val="7"/>
        <w:rPr>
          <w:rFonts w:hint="eastAsia" w:eastAsia="宋体"/>
          <w:lang w:val="en-US" w:eastAsia="zh-CN"/>
        </w:rPr>
      </w:pPr>
      <w:r>
        <w:rPr>
          <w:rFonts w:hint="eastAsia" w:ascii="宋体" w:hAnsi="宋体" w:eastAsia="宋体" w:cs="宋体"/>
          <w:color w:val="auto"/>
          <w:sz w:val="24"/>
          <w:szCs w:val="24"/>
          <w:lang w:val="en-US" w:eastAsia="zh-CN"/>
        </w:rPr>
        <w:t>5、安全文明施工基本费按照《浙江省建设工程计价规则（2018版）》的费率乘以1.15系数。</w:t>
      </w:r>
    </w:p>
    <w:p>
      <w:pPr>
        <w:numPr>
          <w:ilvl w:val="0"/>
          <w:numId w:val="6"/>
        </w:numPr>
        <w:spacing w:line="360" w:lineRule="auto"/>
        <w:rPr>
          <w:rFonts w:hint="eastAsia"/>
          <w:b/>
          <w:color w:val="auto"/>
          <w:sz w:val="24"/>
        </w:rPr>
      </w:pPr>
      <w:r>
        <w:rPr>
          <w:rFonts w:hint="eastAsia"/>
          <w:b/>
          <w:color w:val="auto"/>
          <w:sz w:val="24"/>
        </w:rPr>
        <w:t>其它相关说明：</w:t>
      </w:r>
    </w:p>
    <w:p>
      <w:pPr>
        <w:pStyle w:val="7"/>
        <w:numPr>
          <w:ilvl w:val="0"/>
          <w:numId w:val="0"/>
        </w:numPr>
        <w:ind w:leftChars="0"/>
        <w:rPr>
          <w:rFonts w:hint="eastAsia"/>
          <w:lang w:val="en-US" w:eastAsia="zh-CN"/>
        </w:rPr>
      </w:pPr>
      <w:r>
        <w:rPr>
          <w:rFonts w:hint="eastAsia"/>
          <w:lang w:val="en-US" w:eastAsia="zh-CN"/>
        </w:rPr>
        <w:t>1、工程量</w:t>
      </w:r>
      <w:bookmarkStart w:id="0" w:name="_GoBack"/>
      <w:r>
        <w:rPr>
          <w:rFonts w:hint="eastAsia"/>
          <w:lang w:val="en-US" w:eastAsia="zh-CN"/>
        </w:rPr>
        <w:t>按实结算</w:t>
      </w:r>
    </w:p>
    <w:p>
      <w:pPr>
        <w:pStyle w:val="7"/>
        <w:numPr>
          <w:ilvl w:val="0"/>
          <w:numId w:val="0"/>
        </w:numPr>
        <w:ind w:leftChars="0"/>
        <w:rPr>
          <w:rFonts w:hint="eastAsia"/>
          <w:lang w:val="en-US" w:eastAsia="zh-CN"/>
        </w:rPr>
      </w:pPr>
      <w:r>
        <w:rPr>
          <w:rFonts w:hint="eastAsia"/>
          <w:lang w:val="en-US" w:eastAsia="zh-CN"/>
        </w:rPr>
        <w:t>2、</w:t>
      </w:r>
      <w:r>
        <w:rPr>
          <w:rFonts w:hint="eastAsia"/>
          <w:lang w:val="zh-CN" w:eastAsia="zh-CN"/>
        </w:rPr>
        <w:t>投标人在投标报价时，应结合工程实际和企业信用状况将安责险列入企业管理费中</w:t>
      </w:r>
    </w:p>
    <w:p>
      <w:pPr>
        <w:pStyle w:val="7"/>
        <w:numPr>
          <w:ilvl w:val="0"/>
          <w:numId w:val="0"/>
        </w:numPr>
        <w:ind w:leftChars="0"/>
        <w:rPr>
          <w:rFonts w:hint="eastAsia"/>
          <w:lang w:val="en-US" w:eastAsia="zh-CN"/>
        </w:rPr>
      </w:pPr>
      <w:r>
        <w:rPr>
          <w:rFonts w:hint="eastAsia"/>
          <w:lang w:val="en-US" w:eastAsia="zh-CN"/>
        </w:rPr>
        <w:t>3、本工程综合考虑防尘、扬尘费用，施工时须达到建设方要求的相应措施。</w:t>
      </w:r>
    </w:p>
    <w:p>
      <w:pPr>
        <w:pStyle w:val="7"/>
        <w:numPr>
          <w:ilvl w:val="0"/>
          <w:numId w:val="5"/>
        </w:numPr>
        <w:ind w:left="0" w:leftChars="0" w:firstLine="0" w:firstLineChars="0"/>
        <w:rPr>
          <w:rFonts w:hint="default" w:ascii="等线" w:hAnsi="等线" w:eastAsia="等线" w:cs="Times New Roman"/>
          <w:kern w:val="2"/>
          <w:sz w:val="22"/>
          <w:szCs w:val="22"/>
          <w:lang w:val="en-US" w:eastAsia="zh-CN" w:bidi="ar-SA"/>
        </w:rPr>
      </w:pPr>
      <w:r>
        <w:rPr>
          <w:rFonts w:hint="eastAsia"/>
          <w:lang w:val="en-US" w:eastAsia="zh-CN"/>
        </w:rPr>
        <w:t>本工程部分工程量以及具体实施项目暂按建设方意见计入</w:t>
      </w:r>
    </w:p>
    <w:p>
      <w:pPr>
        <w:numPr>
          <w:ilvl w:val="0"/>
          <w:numId w:val="5"/>
        </w:numPr>
        <w:ind w:left="0" w:leftChars="0" w:firstLine="0" w:firstLineChars="0"/>
        <w:rPr>
          <w:rFonts w:hint="default" w:ascii="等线" w:hAnsi="等线" w:eastAsia="等线" w:cs="Times New Roman"/>
          <w:kern w:val="2"/>
          <w:sz w:val="22"/>
          <w:szCs w:val="22"/>
          <w:lang w:val="en-US" w:eastAsia="zh-CN" w:bidi="ar-SA"/>
        </w:rPr>
      </w:pPr>
      <w:r>
        <w:rPr>
          <w:rFonts w:hint="eastAsia" w:ascii="宋体" w:hAnsi="宋体" w:cs="宋体"/>
          <w:bCs/>
          <w:color w:val="000000" w:themeColor="text1"/>
          <w:szCs w:val="21"/>
          <w14:textFill>
            <w14:solidFill>
              <w14:schemeClr w14:val="tx1"/>
            </w14:solidFill>
          </w14:textFill>
        </w:rPr>
        <w:t>结算时，工程量根据竣工图纸、建设方确认的签证单及现场实际测量工程量按实结算</w:t>
      </w:r>
    </w:p>
    <w:p>
      <w:pPr>
        <w:numPr>
          <w:ilvl w:val="0"/>
          <w:numId w:val="5"/>
        </w:numPr>
        <w:ind w:left="0" w:leftChars="0" w:firstLine="0" w:firstLineChars="0"/>
        <w:rPr>
          <w:rFonts w:hint="default" w:ascii="等线" w:hAnsi="等线" w:eastAsia="等线" w:cs="Times New Roman"/>
          <w:kern w:val="2"/>
          <w:sz w:val="22"/>
          <w:szCs w:val="22"/>
          <w:lang w:val="en-US" w:eastAsia="zh-CN" w:bidi="ar-SA"/>
        </w:rPr>
      </w:pPr>
      <w:r>
        <w:rPr>
          <w:rFonts w:hint="eastAsia" w:ascii="宋体" w:hAnsi="宋体" w:eastAsia="等线" w:cs="宋体"/>
          <w:bCs/>
          <w:color w:val="000000" w:themeColor="text1"/>
          <w:szCs w:val="21"/>
          <w:lang w:val="en-US" w:eastAsia="zh-CN"/>
          <w14:textFill>
            <w14:solidFill>
              <w14:schemeClr w14:val="tx1"/>
            </w14:solidFill>
          </w14:textFill>
        </w:rPr>
        <w:t>本项目为老旧小区屋顶维修项目，投标单位投标时自行踏勘现场，综合考虑因场地小、人员复杂等而产生的其他措施费用，不再单独计算，中标以后综合单价不调整</w:t>
      </w:r>
      <w:bookmarkEnd w:id="0"/>
    </w:p>
    <w:p>
      <w:pPr>
        <w:numPr>
          <w:ilvl w:val="0"/>
          <w:numId w:val="0"/>
        </w:numPr>
        <w:spacing w:line="276" w:lineRule="auto"/>
        <w:ind w:leftChars="0"/>
        <w:rPr>
          <w:rFonts w:ascii="宋体" w:hAnsi="宋体"/>
          <w:b/>
          <w:color w:val="FF0000"/>
          <w:szCs w:val="21"/>
        </w:rPr>
      </w:pPr>
      <w:r>
        <w:rPr>
          <w:rFonts w:hint="eastAsia" w:ascii="宋体" w:hAnsi="宋体"/>
          <w:b/>
          <w:color w:val="FF0000"/>
          <w:szCs w:val="21"/>
          <w:lang w:val="en-US" w:eastAsia="zh-CN"/>
        </w:rPr>
        <w:t>八、材料品牌</w:t>
      </w:r>
      <w:r>
        <w:rPr>
          <w:rFonts w:hint="eastAsia" w:ascii="宋体" w:hAnsi="宋体"/>
          <w:b/>
          <w:color w:val="FF0000"/>
          <w:szCs w:val="21"/>
        </w:rPr>
        <w:t>说明：</w:t>
      </w:r>
    </w:p>
    <w:p>
      <w:pPr>
        <w:pStyle w:val="2"/>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1、防水材料------------------------------------宏源、科顺、卓宝、东方雨虹</w:t>
      </w:r>
    </w:p>
    <w:p>
      <w:pPr>
        <w:keepNext w:val="0"/>
        <w:keepLines w:val="0"/>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color w:val="auto"/>
          <w:sz w:val="24"/>
          <w:szCs w:val="24"/>
          <w:lang w:val="en-US" w:eastAsia="zh-CN"/>
        </w:rPr>
      </w:pPr>
      <w:r>
        <w:rPr>
          <w:rFonts w:hint="eastAsia" w:ascii="宋体" w:hAnsi="宋体" w:eastAsia="宋体" w:cs="宋体"/>
          <w:sz w:val="24"/>
          <w:szCs w:val="24"/>
          <w:lang w:val="zh-CN"/>
        </w:rPr>
        <w:t>注：以上品牌仅供投标时参考，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w:t>
      </w:r>
      <w:r>
        <w:rPr>
          <w:rFonts w:hint="eastAsia" w:ascii="宋体" w:hAnsi="宋体" w:eastAsia="宋体" w:cs="宋体"/>
          <w:color w:val="000000"/>
          <w:kern w:val="0"/>
          <w:sz w:val="24"/>
          <w:szCs w:val="24"/>
          <w:lang w:bidi="ar"/>
        </w:rPr>
        <w:t>实际施工过程中需经建设单位同意后方可使用，价格由投标单位自行报价，一次性包干，中标后不作调整</w:t>
      </w:r>
      <w:r>
        <w:rPr>
          <w:rFonts w:hint="eastAsia" w:ascii="宋体" w:hAnsi="宋体" w:eastAsia="宋体" w:cs="宋体"/>
          <w:sz w:val="24"/>
          <w:szCs w:val="24"/>
          <w:lang w:val="zh-CN"/>
        </w:rPr>
        <w:t>，</w:t>
      </w:r>
      <w:r>
        <w:rPr>
          <w:rFonts w:hint="eastAsia" w:ascii="宋体" w:hAnsi="宋体" w:eastAsia="宋体" w:cs="宋体"/>
          <w:color w:val="000000"/>
          <w:kern w:val="0"/>
          <w:sz w:val="24"/>
          <w:szCs w:val="24"/>
          <w:lang w:bidi="ar"/>
        </w:rPr>
        <w:t>但所采购材料必须符合施工图设计、国标、现行施工验收规范要求，并经招标人、监理单位认可，才能使用到本工程。请各投标单位报价时，自行考虑市场上下浮动风险因素。所有材料的颜色和式样等在施工前，根据设计和业主要求确定，但单价不作调整</w:t>
      </w:r>
      <w:r>
        <w:rPr>
          <w:rFonts w:hint="eastAsia" w:ascii="宋体" w:hAnsi="宋体" w:eastAsia="宋体" w:cs="宋体"/>
          <w:sz w:val="24"/>
          <w:szCs w:val="24"/>
          <w:lang w:val="zh-CN"/>
        </w:rPr>
        <w:t>（注：清单中未提供品牌的材料均为国产优质品牌）</w:t>
      </w:r>
    </w:p>
    <w:p>
      <w:pPr>
        <w:numPr>
          <w:ilvl w:val="0"/>
          <w:numId w:val="5"/>
        </w:numPr>
        <w:ind w:left="0" w:leftChars="0" w:firstLine="0" w:firstLineChars="0"/>
        <w:rPr>
          <w:rFonts w:hint="default" w:ascii="等线" w:hAnsi="等线" w:eastAsia="等线" w:cs="Times New Roman"/>
          <w:kern w:val="2"/>
          <w:sz w:val="22"/>
          <w:szCs w:val="22"/>
          <w:lang w:val="en-US" w:eastAsia="zh-CN" w:bidi="ar-SA"/>
        </w:rPr>
      </w:pPr>
    </w:p>
    <w:p>
      <w:pPr>
        <w:spacing w:line="400" w:lineRule="exact"/>
        <w:jc w:val="left"/>
        <w:rPr>
          <w:rFonts w:ascii="宋体" w:hAnsi="宋体" w:cs="宋体"/>
          <w:b/>
          <w:color w:val="auto"/>
          <w:szCs w:val="21"/>
        </w:rPr>
      </w:pPr>
      <w:r>
        <w:rPr>
          <w:rFonts w:hint="eastAsia"/>
          <w:b/>
          <w:color w:val="auto"/>
          <w:sz w:val="24"/>
          <w:lang w:val="en-US" w:eastAsia="zh-CN"/>
        </w:rPr>
        <w:t>九</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pPr>
        <w:widowControl/>
        <w:spacing w:line="400" w:lineRule="exact"/>
        <w:jc w:val="left"/>
        <w:rPr>
          <w:rFonts w:hint="default" w:ascii="宋体" w:hAnsi="宋体"/>
          <w:szCs w:val="21"/>
          <w:lang w:val="en-US" w:eastAsia="zh-CN"/>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13"/>
      </w:rPr>
    </w:pPr>
    <w:r>
      <w:fldChar w:fldCharType="begin"/>
    </w:r>
    <w:r>
      <w:rPr>
        <w:rStyle w:val="13"/>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38BEB0"/>
    <w:multiLevelType w:val="singleLevel"/>
    <w:tmpl w:val="F538BEB0"/>
    <w:lvl w:ilvl="0" w:tentative="0">
      <w:start w:val="3"/>
      <w:numFmt w:val="decimal"/>
      <w:suff w:val="nothing"/>
      <w:lvlText w:val="%1、"/>
      <w:lvlJc w:val="left"/>
    </w:lvl>
  </w:abstractNum>
  <w:abstractNum w:abstractNumId="1">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2">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F9B04EE"/>
    <w:multiLevelType w:val="singleLevel"/>
    <w:tmpl w:val="5F9B04EE"/>
    <w:lvl w:ilvl="0" w:tentative="0">
      <w:start w:val="1"/>
      <w:numFmt w:val="decimal"/>
      <w:suff w:val="nothing"/>
      <w:lvlText w:val="%1、"/>
      <w:lvlJc w:val="left"/>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3YzNlZjU4MDc3ZDUxMmFiOTU0ZDE3Njc1YTdkMjE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E6843"/>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46818ED"/>
    <w:rsid w:val="05584575"/>
    <w:rsid w:val="08597785"/>
    <w:rsid w:val="08952AB1"/>
    <w:rsid w:val="08DC47B1"/>
    <w:rsid w:val="08E31AFD"/>
    <w:rsid w:val="090D04EA"/>
    <w:rsid w:val="09AE79FF"/>
    <w:rsid w:val="09EF6702"/>
    <w:rsid w:val="0A2E13C6"/>
    <w:rsid w:val="0BFC3DAC"/>
    <w:rsid w:val="0CF11FC8"/>
    <w:rsid w:val="0DAB0955"/>
    <w:rsid w:val="0E2C7645"/>
    <w:rsid w:val="0E300623"/>
    <w:rsid w:val="10620613"/>
    <w:rsid w:val="10860E8E"/>
    <w:rsid w:val="10A06833"/>
    <w:rsid w:val="11651641"/>
    <w:rsid w:val="12A26F5A"/>
    <w:rsid w:val="13411AC3"/>
    <w:rsid w:val="13450D42"/>
    <w:rsid w:val="1399678B"/>
    <w:rsid w:val="13A35802"/>
    <w:rsid w:val="13F52878"/>
    <w:rsid w:val="159C4E32"/>
    <w:rsid w:val="15B51799"/>
    <w:rsid w:val="161B4871"/>
    <w:rsid w:val="165118C2"/>
    <w:rsid w:val="168458FA"/>
    <w:rsid w:val="16A01F34"/>
    <w:rsid w:val="172A290E"/>
    <w:rsid w:val="17750F9B"/>
    <w:rsid w:val="17A40A69"/>
    <w:rsid w:val="17C23D74"/>
    <w:rsid w:val="17CA5720"/>
    <w:rsid w:val="18442DEF"/>
    <w:rsid w:val="186D464D"/>
    <w:rsid w:val="19A37E53"/>
    <w:rsid w:val="19FA1EEC"/>
    <w:rsid w:val="1A35572B"/>
    <w:rsid w:val="1AE667A7"/>
    <w:rsid w:val="1C183CFA"/>
    <w:rsid w:val="1C5D5722"/>
    <w:rsid w:val="1C7334F3"/>
    <w:rsid w:val="1CF47940"/>
    <w:rsid w:val="1E0D6855"/>
    <w:rsid w:val="1E1E32AA"/>
    <w:rsid w:val="1E384A40"/>
    <w:rsid w:val="1E945731"/>
    <w:rsid w:val="1F4947CD"/>
    <w:rsid w:val="2062066F"/>
    <w:rsid w:val="210B6D83"/>
    <w:rsid w:val="233523C3"/>
    <w:rsid w:val="23A143EA"/>
    <w:rsid w:val="24E17F7C"/>
    <w:rsid w:val="255B5120"/>
    <w:rsid w:val="256656B4"/>
    <w:rsid w:val="25843104"/>
    <w:rsid w:val="266163C4"/>
    <w:rsid w:val="26A5409A"/>
    <w:rsid w:val="27686B87"/>
    <w:rsid w:val="27D83E83"/>
    <w:rsid w:val="28272534"/>
    <w:rsid w:val="29B33B7B"/>
    <w:rsid w:val="29D40A2C"/>
    <w:rsid w:val="29FA3093"/>
    <w:rsid w:val="2AE40EF7"/>
    <w:rsid w:val="2C4A02E2"/>
    <w:rsid w:val="2C6E758E"/>
    <w:rsid w:val="2D2F78EE"/>
    <w:rsid w:val="2E1607D1"/>
    <w:rsid w:val="2E5907D4"/>
    <w:rsid w:val="2E87339B"/>
    <w:rsid w:val="2EB214F2"/>
    <w:rsid w:val="2EFD740E"/>
    <w:rsid w:val="2F062A6E"/>
    <w:rsid w:val="2FD1709A"/>
    <w:rsid w:val="3008775A"/>
    <w:rsid w:val="30B368B6"/>
    <w:rsid w:val="30CB7A6D"/>
    <w:rsid w:val="31807EB3"/>
    <w:rsid w:val="31996E73"/>
    <w:rsid w:val="31AB5078"/>
    <w:rsid w:val="31B92474"/>
    <w:rsid w:val="31DB625D"/>
    <w:rsid w:val="32062F86"/>
    <w:rsid w:val="32344A7B"/>
    <w:rsid w:val="32843C53"/>
    <w:rsid w:val="332078FA"/>
    <w:rsid w:val="3383071D"/>
    <w:rsid w:val="34C60BA3"/>
    <w:rsid w:val="35793CEE"/>
    <w:rsid w:val="368514F5"/>
    <w:rsid w:val="382C74A9"/>
    <w:rsid w:val="383A128B"/>
    <w:rsid w:val="38540C47"/>
    <w:rsid w:val="38A23A5D"/>
    <w:rsid w:val="3933109A"/>
    <w:rsid w:val="399D323A"/>
    <w:rsid w:val="3A3506DC"/>
    <w:rsid w:val="3A616090"/>
    <w:rsid w:val="3AB20FAC"/>
    <w:rsid w:val="3ACC422F"/>
    <w:rsid w:val="3B321E9B"/>
    <w:rsid w:val="3B5D23A8"/>
    <w:rsid w:val="3B9309E5"/>
    <w:rsid w:val="3B9C4005"/>
    <w:rsid w:val="3CB5767C"/>
    <w:rsid w:val="3D2D05FE"/>
    <w:rsid w:val="3DAC2241"/>
    <w:rsid w:val="3DB37C37"/>
    <w:rsid w:val="3DD53CC9"/>
    <w:rsid w:val="3DF80BBC"/>
    <w:rsid w:val="3F1D2349"/>
    <w:rsid w:val="3F515858"/>
    <w:rsid w:val="40CA5245"/>
    <w:rsid w:val="42A71AEF"/>
    <w:rsid w:val="43A6737E"/>
    <w:rsid w:val="44693570"/>
    <w:rsid w:val="455B635E"/>
    <w:rsid w:val="459C60E4"/>
    <w:rsid w:val="45AE3E51"/>
    <w:rsid w:val="461216B9"/>
    <w:rsid w:val="46615B98"/>
    <w:rsid w:val="46CE7084"/>
    <w:rsid w:val="47292DAD"/>
    <w:rsid w:val="48392B0A"/>
    <w:rsid w:val="499C7D86"/>
    <w:rsid w:val="49EC27FF"/>
    <w:rsid w:val="4AF57F4B"/>
    <w:rsid w:val="4B3405EC"/>
    <w:rsid w:val="4B3E1140"/>
    <w:rsid w:val="4C5F6D9E"/>
    <w:rsid w:val="4D0D6850"/>
    <w:rsid w:val="4D5C2139"/>
    <w:rsid w:val="4E4A143A"/>
    <w:rsid w:val="4F107A0E"/>
    <w:rsid w:val="50EB6A1F"/>
    <w:rsid w:val="512A26AB"/>
    <w:rsid w:val="51EB780F"/>
    <w:rsid w:val="523C40AA"/>
    <w:rsid w:val="52870272"/>
    <w:rsid w:val="52EA295C"/>
    <w:rsid w:val="53760AA9"/>
    <w:rsid w:val="53B34850"/>
    <w:rsid w:val="54412AD4"/>
    <w:rsid w:val="54980DFE"/>
    <w:rsid w:val="55707955"/>
    <w:rsid w:val="575313B3"/>
    <w:rsid w:val="576E0C05"/>
    <w:rsid w:val="579E594E"/>
    <w:rsid w:val="58036BE0"/>
    <w:rsid w:val="59083079"/>
    <w:rsid w:val="591B6DAE"/>
    <w:rsid w:val="5962638D"/>
    <w:rsid w:val="59DE1803"/>
    <w:rsid w:val="5A8013CC"/>
    <w:rsid w:val="5AD607C4"/>
    <w:rsid w:val="5B2E4369"/>
    <w:rsid w:val="5BE6149A"/>
    <w:rsid w:val="5BF17E1D"/>
    <w:rsid w:val="5E04074D"/>
    <w:rsid w:val="5E0E5D23"/>
    <w:rsid w:val="5E9F12CF"/>
    <w:rsid w:val="5EF10F30"/>
    <w:rsid w:val="617321E5"/>
    <w:rsid w:val="61A3793C"/>
    <w:rsid w:val="63035473"/>
    <w:rsid w:val="63525291"/>
    <w:rsid w:val="63AF536B"/>
    <w:rsid w:val="648D242D"/>
    <w:rsid w:val="653738E3"/>
    <w:rsid w:val="65561244"/>
    <w:rsid w:val="65C82A7E"/>
    <w:rsid w:val="66261D62"/>
    <w:rsid w:val="66B03FC5"/>
    <w:rsid w:val="66F7310F"/>
    <w:rsid w:val="678A2C01"/>
    <w:rsid w:val="680D5C73"/>
    <w:rsid w:val="68193780"/>
    <w:rsid w:val="681F1E63"/>
    <w:rsid w:val="68472CC4"/>
    <w:rsid w:val="684D4EB5"/>
    <w:rsid w:val="688D3A35"/>
    <w:rsid w:val="69720528"/>
    <w:rsid w:val="69B865DE"/>
    <w:rsid w:val="6A1C64EF"/>
    <w:rsid w:val="6A4F5DDA"/>
    <w:rsid w:val="6A5300EB"/>
    <w:rsid w:val="6A5D4693"/>
    <w:rsid w:val="6B1C1071"/>
    <w:rsid w:val="6C96476C"/>
    <w:rsid w:val="6D730B5F"/>
    <w:rsid w:val="6DE95EB0"/>
    <w:rsid w:val="6EF40E45"/>
    <w:rsid w:val="6EFB32A8"/>
    <w:rsid w:val="6F7D5721"/>
    <w:rsid w:val="6FB913CA"/>
    <w:rsid w:val="7057091F"/>
    <w:rsid w:val="7116194F"/>
    <w:rsid w:val="713B0E50"/>
    <w:rsid w:val="7194460E"/>
    <w:rsid w:val="72664F90"/>
    <w:rsid w:val="73B901E7"/>
    <w:rsid w:val="73BE3BD3"/>
    <w:rsid w:val="74D2407C"/>
    <w:rsid w:val="752B6B16"/>
    <w:rsid w:val="754A236B"/>
    <w:rsid w:val="762F6B4B"/>
    <w:rsid w:val="76AE1AA2"/>
    <w:rsid w:val="77F919B0"/>
    <w:rsid w:val="781B28E2"/>
    <w:rsid w:val="78DC3BF9"/>
    <w:rsid w:val="79770680"/>
    <w:rsid w:val="7A194031"/>
    <w:rsid w:val="7ABB0491"/>
    <w:rsid w:val="7AF95C80"/>
    <w:rsid w:val="7B150232"/>
    <w:rsid w:val="7B872B9C"/>
    <w:rsid w:val="7BA33598"/>
    <w:rsid w:val="7CFE44EF"/>
    <w:rsid w:val="7D322943"/>
    <w:rsid w:val="7D3B75FF"/>
    <w:rsid w:val="7D743307"/>
    <w:rsid w:val="7DCD07C1"/>
    <w:rsid w:val="7E120769"/>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4">
    <w:name w:val="annotation text"/>
    <w:basedOn w:val="1"/>
    <w:semiHidden/>
    <w:qFormat/>
    <w:uiPriority w:val="0"/>
    <w:pPr>
      <w:jc w:val="left"/>
    </w:pPr>
  </w:style>
  <w:style w:type="paragraph" w:styleId="5">
    <w:name w:val="Balloon Text"/>
    <w:basedOn w:val="1"/>
    <w:semiHidden/>
    <w:qFormat/>
    <w:uiPriority w:val="0"/>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4"/>
    <w:next w:val="4"/>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style11"/>
    <w:basedOn w:val="12"/>
    <w:qFormat/>
    <w:uiPriority w:val="0"/>
    <w:rPr>
      <w:b/>
      <w:bCs/>
      <w:color w:val="D54F2B"/>
      <w:sz w:val="19"/>
      <w:szCs w:val="19"/>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2240</Words>
  <Characters>2402</Characters>
  <Lines>20</Lines>
  <Paragraphs>5</Paragraphs>
  <TotalTime>3</TotalTime>
  <ScaleCrop>false</ScaleCrop>
  <LinksUpToDate>false</LinksUpToDate>
  <CharactersWithSpaces>2413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ycx</cp:lastModifiedBy>
  <cp:lastPrinted>2020-07-22T01:49:00Z</cp:lastPrinted>
  <dcterms:modified xsi:type="dcterms:W3CDTF">2025-11-18T07:00:55Z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00F467659771491D9DD361D5CE25D7B9</vt:lpwstr>
  </property>
</Properties>
</file>