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910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default" w:ascii="仿宋" w:hAnsi="仿宋" w:eastAsia="仿宋" w:cs="仿宋"/>
          <w:b/>
          <w:bCs/>
          <w:sz w:val="24"/>
          <w:highlight w:val="none"/>
          <w:lang w:val="en-US" w:eastAsia="zh-CN"/>
        </w:rPr>
      </w:pPr>
      <w:r>
        <w:rPr>
          <w:rFonts w:hint="eastAsia" w:ascii="仿宋" w:hAnsi="仿宋" w:eastAsia="仿宋" w:cs="仿宋"/>
          <w:b/>
          <w:bCs/>
          <w:sz w:val="21"/>
          <w:szCs w:val="21"/>
          <w:highlight w:val="none"/>
          <w:lang w:val="en-US" w:eastAsia="zh-CN"/>
        </w:rPr>
        <w:t>工作清单</w:t>
      </w:r>
    </w:p>
    <w:tbl>
      <w:tblPr>
        <w:tblStyle w:val="4"/>
        <w:tblW w:w="58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0"/>
        <w:gridCol w:w="1032"/>
        <w:gridCol w:w="5346"/>
        <w:gridCol w:w="590"/>
        <w:gridCol w:w="595"/>
      </w:tblGrid>
      <w:tr w14:paraId="685BC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350" w:type="dxa"/>
            <w:noWrap w:val="0"/>
            <w:vAlign w:val="center"/>
          </w:tcPr>
          <w:p w14:paraId="600D39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参考图片</w:t>
            </w:r>
          </w:p>
        </w:tc>
        <w:tc>
          <w:tcPr>
            <w:tcW w:w="1032" w:type="dxa"/>
            <w:noWrap w:val="0"/>
            <w:vAlign w:val="center"/>
          </w:tcPr>
          <w:p w14:paraId="4526DC9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产品名称</w:t>
            </w:r>
          </w:p>
        </w:tc>
        <w:tc>
          <w:tcPr>
            <w:tcW w:w="5347" w:type="dxa"/>
            <w:noWrap w:val="0"/>
            <w:vAlign w:val="center"/>
          </w:tcPr>
          <w:p w14:paraId="0BBC55F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参数规格</w:t>
            </w:r>
          </w:p>
        </w:tc>
        <w:tc>
          <w:tcPr>
            <w:tcW w:w="590" w:type="dxa"/>
            <w:noWrap w:val="0"/>
            <w:vAlign w:val="center"/>
          </w:tcPr>
          <w:p w14:paraId="54482E9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数量</w:t>
            </w:r>
          </w:p>
        </w:tc>
        <w:tc>
          <w:tcPr>
            <w:tcW w:w="595" w:type="dxa"/>
            <w:noWrap w:val="0"/>
            <w:vAlign w:val="center"/>
          </w:tcPr>
          <w:p w14:paraId="5CE1EB9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单位</w:t>
            </w:r>
          </w:p>
        </w:tc>
      </w:tr>
      <w:tr w14:paraId="63302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350" w:type="dxa"/>
            <w:vMerge w:val="restart"/>
            <w:noWrap w:val="0"/>
            <w:vAlign w:val="center"/>
          </w:tcPr>
          <w:p w14:paraId="31309FE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drawing>
                <wp:inline distT="0" distB="0" distL="114300" distR="114300">
                  <wp:extent cx="1390015" cy="929640"/>
                  <wp:effectExtent l="0" t="0" r="635" b="381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4"/>
                          <a:stretch>
                            <a:fillRect/>
                          </a:stretch>
                        </pic:blipFill>
                        <pic:spPr>
                          <a:xfrm>
                            <a:off x="0" y="0"/>
                            <a:ext cx="1390015" cy="929640"/>
                          </a:xfrm>
                          <a:prstGeom prst="rect">
                            <a:avLst/>
                          </a:prstGeom>
                          <a:noFill/>
                          <a:ln>
                            <a:noFill/>
                          </a:ln>
                        </pic:spPr>
                      </pic:pic>
                    </a:graphicData>
                  </a:graphic>
                </wp:inline>
              </w:drawing>
            </w:r>
          </w:p>
          <w:p w14:paraId="682278E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drawing>
                <wp:inline distT="0" distB="0" distL="114300" distR="114300">
                  <wp:extent cx="1387475" cy="728345"/>
                  <wp:effectExtent l="0" t="0" r="3175" b="1460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5"/>
                          <a:stretch>
                            <a:fillRect/>
                          </a:stretch>
                        </pic:blipFill>
                        <pic:spPr>
                          <a:xfrm>
                            <a:off x="0" y="0"/>
                            <a:ext cx="1387475" cy="728345"/>
                          </a:xfrm>
                          <a:prstGeom prst="rect">
                            <a:avLst/>
                          </a:prstGeom>
                          <a:noFill/>
                          <a:ln>
                            <a:noFill/>
                          </a:ln>
                        </pic:spPr>
                      </pic:pic>
                    </a:graphicData>
                  </a:graphic>
                </wp:inline>
              </w:drawing>
            </w:r>
            <w:r>
              <w:rPr>
                <w:rFonts w:hint="eastAsia" w:ascii="仿宋" w:hAnsi="仿宋" w:eastAsia="仿宋" w:cs="仿宋"/>
                <w:color w:val="auto"/>
                <w:highlight w:val="none"/>
                <w:shd w:val="clear" w:color="auto" w:fill="FFFFFF"/>
                <w:lang w:val="en-US" w:eastAsia="zh-CN"/>
              </w:rPr>
              <w:drawing>
                <wp:inline distT="0" distB="0" distL="114300" distR="114300">
                  <wp:extent cx="1390015" cy="818515"/>
                  <wp:effectExtent l="0" t="0" r="635" b="63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6"/>
                          <a:stretch>
                            <a:fillRect/>
                          </a:stretch>
                        </pic:blipFill>
                        <pic:spPr>
                          <a:xfrm>
                            <a:off x="0" y="0"/>
                            <a:ext cx="1390015" cy="818515"/>
                          </a:xfrm>
                          <a:prstGeom prst="rect">
                            <a:avLst/>
                          </a:prstGeom>
                          <a:noFill/>
                          <a:ln>
                            <a:noFill/>
                          </a:ln>
                        </pic:spPr>
                      </pic:pic>
                    </a:graphicData>
                  </a:graphic>
                </wp:inline>
              </w:drawing>
            </w:r>
          </w:p>
        </w:tc>
        <w:tc>
          <w:tcPr>
            <w:tcW w:w="1032" w:type="dxa"/>
            <w:vMerge w:val="restart"/>
            <w:noWrap w:val="0"/>
            <w:vAlign w:val="center"/>
          </w:tcPr>
          <w:p w14:paraId="77D102F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手摇升降午休课桌椅</w:t>
            </w:r>
          </w:p>
        </w:tc>
        <w:tc>
          <w:tcPr>
            <w:tcW w:w="5347" w:type="dxa"/>
            <w:noWrap w:val="0"/>
            <w:vAlign w:val="center"/>
          </w:tcPr>
          <w:p w14:paraId="4C832C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午休课桌</w:t>
            </w:r>
          </w:p>
          <w:p w14:paraId="094A1C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1.桌子尺寸：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620*450*600-790mm(注:桌面距地面手摇调节高度：600mm-790mm±10mm，桌面高</w:t>
            </w:r>
            <w:bookmarkStart w:id="2" w:name="_GoBack"/>
            <w:bookmarkEnd w:id="2"/>
            <w:r>
              <w:rPr>
                <w:rFonts w:hint="eastAsia" w:ascii="仿宋" w:hAnsi="仿宋" w:eastAsia="仿宋" w:cs="仿宋"/>
                <w:color w:val="auto"/>
                <w:highlight w:val="none"/>
                <w:shd w:val="clear" w:color="auto" w:fill="FFFFFF"/>
                <w:lang w:val="en-US" w:eastAsia="zh-CN"/>
              </w:rPr>
              <w:t>度可通过手摇工具无极升降调节，立柱激光打标升降尺寸。桌面距地面高度可调节,可自由调节，无级升降，立柱激光打标升降尺寸)。</w:t>
            </w:r>
          </w:p>
          <w:p w14:paraId="685BC8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桌面:需采用符合国家标准的全新环保ABS耐冲击一级新料。尺寸长</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620mm*宽450mm*30mm,桌面板需带有笔槽，面板颜色需可选，桌面四周边沿平滑，四角倒角设计。</w:t>
            </w:r>
          </w:p>
          <w:p w14:paraId="2C3034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jc w:val="left"/>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书斗：书包斗整体的尺寸为：≥550mm*385mm*145mm，内净空尺寸：≥</w:t>
            </w:r>
            <w:r>
              <w:rPr>
                <w:rFonts w:hint="eastAsia" w:ascii="仿宋" w:hAnsi="仿宋" w:eastAsia="仿宋" w:cs="仿宋"/>
                <w:color w:val="auto"/>
                <w:highlight w:val="none"/>
                <w:shd w:val="clear" w:color="auto" w:fill="FFFFFF"/>
                <w:lang w:val="en-US" w:eastAsia="zh-CN"/>
              </w:rPr>
              <w:t>470mm*350mm*140mm,材质需为全新环保一级工程塑料PP料；书斗三壁需为多孔镂空设计，圆孔直径为不大于5</w:t>
            </w:r>
            <w:r>
              <w:rPr>
                <w:rFonts w:hint="default" w:ascii="仿宋" w:hAnsi="仿宋" w:eastAsia="仿宋" w:cs="仿宋"/>
                <w:color w:val="auto"/>
                <w:highlight w:val="none"/>
                <w:shd w:val="clear" w:color="auto" w:fill="FFFFFF"/>
                <w:lang w:val="en-US" w:eastAsia="zh-CN"/>
              </w:rPr>
              <w:t>mm</w:t>
            </w:r>
            <w:r>
              <w:rPr>
                <w:rFonts w:hint="eastAsia" w:ascii="仿宋" w:hAnsi="仿宋" w:eastAsia="仿宋" w:cs="仿宋"/>
                <w:color w:val="auto"/>
                <w:highlight w:val="none"/>
                <w:shd w:val="clear" w:color="auto" w:fill="FFFFFF"/>
                <w:lang w:val="en-US" w:eastAsia="zh-CN"/>
              </w:rPr>
              <w:t>，以防夹伤手指，起到通风透背作用；书包斗前沿需带有弧形槽用以放置笔具。</w:t>
            </w:r>
          </w:p>
          <w:p w14:paraId="4D9DE9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3、</w:t>
            </w: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课桌钢架：课桌钢架：需采用优质冷轧高频焊管，贴地管和立柱呈75度焊接，地脚管采用</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30mm×60mm×1.5mm椭圆管，立柱采用</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33mmx66mmx1.2mm钢管，升降管采用</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26mm×59mm×1.2mm钢管，桌脚连档采用</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26mm×59mm×1.2mm钢管，升降管侧面需采用激光打印高度尺寸。桌子自由调节高度为600mm-790mm，桌面需静负载300KG重物桌子整体不变形。桌托需采用厚1.5钢板成型，三角支架支撑桌面，调节支座需采用厚2.0钢板成型连接升降管，三角支架内侧带隐藏式调节塑料扳手，并且连接桌面三角支架内部的卡销，需满足通过轻按的方式实现桌面桌斗可整体翻转呈39°倾斜，便于前排学生躺平时不用升起课桌，午睡时操作方便实用。</w:t>
            </w:r>
          </w:p>
          <w:p w14:paraId="6F4F5B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4.</w:t>
            </w: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脚套：尺寸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100*65*40mm,需采用PP塑料；功能要求：脚套底部需带有防滑防刮设计。</w:t>
            </w:r>
          </w:p>
          <w:p w14:paraId="5F5AB3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default"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5.</w:t>
            </w: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书包勾：整体尺寸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长39mm*宽23mm*高53mm，需采用符合国家标准的PP耐冲击一级新料，书包勾设有三个圆形孔，备用于螺丝固定。</w:t>
            </w:r>
          </w:p>
          <w:p w14:paraId="7DEA16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6.生产工艺：钢管焊接需采用二氧化碳保护焊接工艺，焊接表面波纹均匀，焊接处无夹渣.气孔，焊瘤，焊丝咬边和飞溅，无脱焊，虚焊和焊空的现象。各钢件表面需采用除油、脱脂、水洗、除锈、中和、磷化、烘干处理，全自动静电喷塑，高温固化，表面光亮平整，无颗粒渣点，颜色均匀。</w:t>
            </w:r>
          </w:p>
          <w:p w14:paraId="5E58F5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7.课桌升降结构：高度调节需采用手摇升降结构，钢质耐用复合材料组合设计，组合成升降器由中间传动軸连接左右桌腿可以同时升降，采用手摇千斤顶承载式上下安全升降结构原理。</w:t>
            </w:r>
          </w:p>
          <w:p w14:paraId="6F5950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手摇柄调节桌面高度需可从桌高600mm至790mm，</w:t>
            </w:r>
            <w:bookmarkStart w:id="0" w:name="OLE_LINK1"/>
            <w:bookmarkStart w:id="1" w:name="OLE_LINK2"/>
            <w:r>
              <w:rPr>
                <w:rFonts w:hint="eastAsia" w:ascii="仿宋" w:hAnsi="仿宋" w:eastAsia="仿宋" w:cs="仿宋"/>
                <w:color w:val="auto"/>
                <w:highlight w:val="none"/>
                <w:shd w:val="clear" w:color="auto" w:fill="FFFFFF"/>
                <w:lang w:val="en-US" w:eastAsia="zh-CN"/>
              </w:rPr>
              <w:t>升降幅度范围不得小于190mm</w:t>
            </w:r>
            <w:bookmarkEnd w:id="0"/>
            <w:bookmarkEnd w:id="1"/>
            <w:r>
              <w:rPr>
                <w:rFonts w:hint="eastAsia" w:ascii="仿宋" w:hAnsi="仿宋" w:eastAsia="仿宋" w:cs="仿宋"/>
                <w:color w:val="auto"/>
                <w:highlight w:val="none"/>
                <w:shd w:val="clear" w:color="auto" w:fill="FFFFFF"/>
                <w:lang w:val="en-US" w:eastAsia="zh-CN"/>
              </w:rPr>
              <w:t>。</w:t>
            </w:r>
          </w:p>
        </w:tc>
        <w:tc>
          <w:tcPr>
            <w:tcW w:w="590" w:type="dxa"/>
            <w:vMerge w:val="restart"/>
            <w:noWrap w:val="0"/>
            <w:vAlign w:val="center"/>
          </w:tcPr>
          <w:p w14:paraId="417660F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630</w:t>
            </w:r>
          </w:p>
        </w:tc>
        <w:tc>
          <w:tcPr>
            <w:tcW w:w="595" w:type="dxa"/>
            <w:vMerge w:val="restart"/>
            <w:noWrap w:val="0"/>
            <w:vAlign w:val="center"/>
          </w:tcPr>
          <w:p w14:paraId="466878D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套</w:t>
            </w:r>
          </w:p>
        </w:tc>
      </w:tr>
      <w:tr w14:paraId="5BEDA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2350" w:type="dxa"/>
            <w:vMerge w:val="continue"/>
            <w:noWrap w:val="0"/>
            <w:vAlign w:val="center"/>
          </w:tcPr>
          <w:p w14:paraId="6ED32B97">
            <w:pPr>
              <w:keepNext w:val="0"/>
              <w:keepLines w:val="0"/>
              <w:widowControl/>
              <w:suppressLineNumbers w:val="0"/>
              <w:spacing w:line="360" w:lineRule="auto"/>
              <w:jc w:val="center"/>
              <w:rPr>
                <w:rFonts w:hint="eastAsia" w:ascii="宋体" w:hAnsi="宋体" w:eastAsia="宋体" w:cs="宋体"/>
                <w:b w:val="0"/>
                <w:bCs w:val="0"/>
                <w:i w:val="0"/>
                <w:iCs w:val="0"/>
                <w:color w:val="auto"/>
                <w:kern w:val="0"/>
                <w:sz w:val="24"/>
                <w:szCs w:val="24"/>
                <w:u w:val="none"/>
                <w:lang w:val="en-US" w:eastAsia="zh-CN" w:bidi="ar"/>
              </w:rPr>
            </w:pPr>
          </w:p>
        </w:tc>
        <w:tc>
          <w:tcPr>
            <w:tcW w:w="1032" w:type="dxa"/>
            <w:vMerge w:val="continue"/>
            <w:noWrap w:val="0"/>
            <w:vAlign w:val="center"/>
          </w:tcPr>
          <w:p w14:paraId="2FEDA381">
            <w:pPr>
              <w:keepNext w:val="0"/>
              <w:keepLines w:val="0"/>
              <w:widowControl/>
              <w:suppressLineNumbers w:val="0"/>
              <w:spacing w:line="360" w:lineRule="auto"/>
              <w:jc w:val="center"/>
              <w:rPr>
                <w:rFonts w:hint="eastAsia" w:ascii="宋体" w:hAnsi="宋体" w:eastAsia="宋体" w:cs="宋体"/>
                <w:b w:val="0"/>
                <w:bCs w:val="0"/>
                <w:i w:val="0"/>
                <w:iCs w:val="0"/>
                <w:color w:val="auto"/>
                <w:kern w:val="0"/>
                <w:sz w:val="24"/>
                <w:szCs w:val="24"/>
                <w:u w:val="none"/>
                <w:lang w:val="en-US" w:eastAsia="zh-CN" w:bidi="ar"/>
              </w:rPr>
            </w:pPr>
          </w:p>
        </w:tc>
        <w:tc>
          <w:tcPr>
            <w:tcW w:w="5347" w:type="dxa"/>
            <w:noWrap w:val="0"/>
            <w:vAlign w:val="center"/>
          </w:tcPr>
          <w:p w14:paraId="246B33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午休课椅</w:t>
            </w:r>
          </w:p>
          <w:p w14:paraId="7F9850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1.</w:t>
            </w: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靠背材质：需采用符合国家标准的PP耐冲击一级新料；尺寸：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400*440*167mm。</w:t>
            </w:r>
          </w:p>
          <w:p w14:paraId="4FCE2A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szCs w:val="21"/>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☆功能：靠背上端需设有一个的软包发泡头枕；尺寸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295*160mm，需采用符合国家标准的PP耐冲击一级新料。</w:t>
            </w:r>
            <w:r>
              <w:rPr>
                <w:rFonts w:hint="eastAsia" w:ascii="仿宋" w:hAnsi="仿宋" w:eastAsia="仿宋" w:cs="仿宋"/>
                <w:bCs/>
                <w:color w:val="auto"/>
                <w:sz w:val="21"/>
                <w:szCs w:val="21"/>
              </w:rPr>
              <w:t>椅子在学习状态下头枕位于靠背底部作为腰托，使学生学习时坐姿更为舒适；在午睡状态下可拉出头枕翻转至靠背最顶端处使学生午睡时能托住头部颈部更为舒适）。解决学生午休时长时间背部发热弊端，躺靠舒适，造型美观，符合国际安全标准，保护学生脖颈，腰部。避免由于不良睡姿而引起的骨位不</w:t>
            </w:r>
            <w:r>
              <w:rPr>
                <w:rFonts w:hint="eastAsia" w:ascii="仿宋" w:hAnsi="仿宋" w:eastAsia="仿宋" w:cs="仿宋"/>
                <w:bCs/>
                <w:color w:val="auto"/>
                <w:sz w:val="21"/>
                <w:szCs w:val="21"/>
                <w:lang w:val="en-US" w:eastAsia="zh-CN"/>
              </w:rPr>
              <w:t>正。</w:t>
            </w:r>
          </w:p>
          <w:p w14:paraId="71CB49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2.</w:t>
            </w: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 xml:space="preserve"> 坐垫材质：需采用符合国家标准的PP耐冲击一级新料；</w:t>
            </w:r>
          </w:p>
          <w:p w14:paraId="7AA8F4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430*420*80mm，坐垫整体呈内凹形，前端适当凸起后端内凹且带有不少于66根条形散热孔。</w:t>
            </w:r>
          </w:p>
          <w:p w14:paraId="5833AD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3.</w:t>
            </w: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腿托板：材质：需采用符合国家标准的PP耐冲击一级新料；尺寸：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308*205*50mm</w:t>
            </w:r>
          </w:p>
          <w:p w14:paraId="39A728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default"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功能：腿托板壁厚不小于5mm且可翻转，午睡躺平的时候可拉伸出来通过翻转即可托起腿部不滑落，学习端坐的时候可收缩放置，收放自如且带有出气孔。腿拖下方设置钢制托架尺寸：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15*30*1.5mm。</w:t>
            </w:r>
          </w:p>
          <w:p w14:paraId="714FA3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4.</w:t>
            </w: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椅子支架采用金属椭圆钢管：需采用Q195优质冷轧高频焊管，贴地管和立柱呈75度焊接，地脚管采用</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30mm×60mm×1.5mm椭圆管，立柱采用</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33mmx66mmx1.2mm钢管，升降管采用</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26mm×59mm×1.2mm钢管，椅脚连档</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20mm*40mm*1.2mm两根椭圆管，升降管侧面激光打印高度尺寸。靠背管采用直径25mm圆管焊接弯管而成，坐垫托架尺寸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25mm×50mm。</w:t>
            </w:r>
          </w:p>
          <w:p w14:paraId="6D051F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5.</w:t>
            </w: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书包篮材质：需采用符合国家标准的PP耐冲击一级新料；尺寸：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372*297*100mm。</w:t>
            </w:r>
          </w:p>
          <w:p w14:paraId="5FAB15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6.</w:t>
            </w:r>
            <w:r>
              <w:rPr>
                <w:rFonts w:hint="eastAsia" w:ascii="宋体" w:hAnsi="宋体" w:cs="宋体"/>
                <w:color w:val="auto"/>
                <w:szCs w:val="21"/>
                <w:highlight w:val="none"/>
                <w:lang w:eastAsia="zh-CN"/>
              </w:rPr>
              <w:t>■</w:t>
            </w:r>
            <w:r>
              <w:rPr>
                <w:rFonts w:hint="eastAsia" w:ascii="仿宋" w:hAnsi="仿宋" w:eastAsia="仿宋" w:cs="仿宋"/>
                <w:color w:val="auto"/>
                <w:highlight w:val="none"/>
                <w:shd w:val="clear" w:color="auto" w:fill="FFFFFF"/>
                <w:lang w:val="en-US" w:eastAsia="zh-CN"/>
              </w:rPr>
              <w:t>脚套：尺寸</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100*65*40mm,采用PP塑料，并用1支螺丝锁付，椅子后端脚垫左右配1个水平调节螺丝。</w:t>
            </w:r>
          </w:p>
          <w:p w14:paraId="68144C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功能：脚套底部需带有防滑防刮设计。</w:t>
            </w:r>
          </w:p>
          <w:p w14:paraId="6101B1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auto"/>
                <w:highlight w:val="none"/>
                <w:shd w:val="clear" w:color="auto" w:fill="FFFFFF"/>
                <w:lang w:val="en-US" w:eastAsia="zh-CN"/>
              </w:rPr>
            </w:pPr>
            <w:r>
              <w:rPr>
                <w:rFonts w:hint="eastAsia" w:ascii="仿宋" w:hAnsi="仿宋" w:eastAsia="仿宋" w:cs="仿宋"/>
                <w:color w:val="auto"/>
                <w:highlight w:val="none"/>
                <w:shd w:val="clear" w:color="auto" w:fill="FFFFFF"/>
                <w:lang w:val="en-US" w:eastAsia="zh-CN"/>
              </w:rPr>
              <w:t>7.课椅结构功能：高度调节采用手摇升降结构，钢质耐用复合材料组合设计，组合成升降器由中间传动軸连接左右桌腿可以同时升降，采用手摇千斤顶承载式上下安全升降结构原理。</w:t>
            </w:r>
          </w:p>
          <w:p w14:paraId="5FBF18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i w:val="0"/>
                <w:iCs w:val="0"/>
                <w:color w:val="auto"/>
                <w:kern w:val="0"/>
                <w:sz w:val="24"/>
                <w:szCs w:val="24"/>
                <w:u w:val="none"/>
                <w:lang w:val="en-US" w:eastAsia="zh-CN" w:bidi="ar"/>
              </w:rPr>
            </w:pPr>
            <w:r>
              <w:rPr>
                <w:rFonts w:hint="eastAsia" w:ascii="仿宋" w:hAnsi="仿宋" w:eastAsia="仿宋" w:cs="仿宋"/>
                <w:color w:val="auto"/>
                <w:highlight w:val="none"/>
                <w:shd w:val="clear" w:color="auto" w:fill="FFFFFF"/>
                <w:lang w:val="en-US" w:eastAsia="zh-CN"/>
              </w:rPr>
              <w:t>椅面调节高度为360mm-440mm，升降幅度范围</w:t>
            </w:r>
            <w:r>
              <w:rPr>
                <w:rFonts w:hint="eastAsia"/>
                <w:color w:val="auto"/>
                <w:spacing w:val="2"/>
                <w:lang w:val="en-US" w:eastAsia="zh-CN"/>
              </w:rPr>
              <w:t>≥</w:t>
            </w:r>
            <w:r>
              <w:rPr>
                <w:rFonts w:hint="eastAsia" w:ascii="仿宋" w:hAnsi="仿宋" w:eastAsia="仿宋" w:cs="仿宋"/>
                <w:color w:val="auto"/>
                <w:highlight w:val="none"/>
                <w:shd w:val="clear" w:color="auto" w:fill="FFFFFF"/>
                <w:lang w:val="en-US" w:eastAsia="zh-CN"/>
              </w:rPr>
              <w:t>80mm。</w:t>
            </w:r>
          </w:p>
        </w:tc>
        <w:tc>
          <w:tcPr>
            <w:tcW w:w="590" w:type="dxa"/>
            <w:vMerge w:val="continue"/>
            <w:noWrap w:val="0"/>
            <w:vAlign w:val="center"/>
          </w:tcPr>
          <w:p w14:paraId="64B540D9">
            <w:pPr>
              <w:keepNext w:val="0"/>
              <w:keepLines w:val="0"/>
              <w:widowControl/>
              <w:suppressLineNumbers w:val="0"/>
              <w:spacing w:line="360" w:lineRule="auto"/>
              <w:jc w:val="center"/>
              <w:rPr>
                <w:rFonts w:hint="eastAsia" w:ascii="宋体" w:hAnsi="宋体" w:eastAsia="宋体" w:cs="宋体"/>
                <w:b w:val="0"/>
                <w:bCs w:val="0"/>
                <w:i w:val="0"/>
                <w:iCs w:val="0"/>
                <w:color w:val="auto"/>
                <w:kern w:val="0"/>
                <w:sz w:val="24"/>
                <w:szCs w:val="24"/>
                <w:u w:val="none"/>
                <w:lang w:val="en-US" w:eastAsia="zh-CN" w:bidi="ar"/>
              </w:rPr>
            </w:pPr>
          </w:p>
        </w:tc>
        <w:tc>
          <w:tcPr>
            <w:tcW w:w="595" w:type="dxa"/>
            <w:vMerge w:val="continue"/>
            <w:noWrap w:val="0"/>
            <w:vAlign w:val="center"/>
          </w:tcPr>
          <w:p w14:paraId="12336B53">
            <w:pPr>
              <w:keepNext w:val="0"/>
              <w:keepLines w:val="0"/>
              <w:widowControl/>
              <w:suppressLineNumbers w:val="0"/>
              <w:spacing w:line="360" w:lineRule="auto"/>
              <w:jc w:val="center"/>
              <w:rPr>
                <w:rFonts w:hint="eastAsia" w:ascii="宋体" w:hAnsi="宋体" w:eastAsia="宋体" w:cs="宋体"/>
                <w:b w:val="0"/>
                <w:bCs w:val="0"/>
                <w:i w:val="0"/>
                <w:iCs w:val="0"/>
                <w:color w:val="auto"/>
                <w:kern w:val="0"/>
                <w:sz w:val="24"/>
                <w:szCs w:val="24"/>
                <w:u w:val="none"/>
                <w:lang w:val="en-US" w:eastAsia="zh-CN" w:bidi="ar"/>
              </w:rPr>
            </w:pPr>
          </w:p>
        </w:tc>
      </w:tr>
    </w:tbl>
    <w:p w14:paraId="5A6C4CB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484530"/>
    <w:rsid w:val="2E2B666E"/>
    <w:rsid w:val="65AB7E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widowControl/>
      <w:overflowPunct w:val="0"/>
      <w:autoSpaceDE w:val="0"/>
      <w:autoSpaceDN w:val="0"/>
      <w:adjustRightInd w:val="0"/>
      <w:spacing w:line="180" w:lineRule="atLeast"/>
      <w:ind w:firstLine="454" w:firstLineChars="200"/>
      <w:textAlignment w:val="baseline"/>
    </w:pPr>
    <w:rPr>
      <w:rFonts w:ascii="Arial" w:hAnsi="Arial"/>
      <w:spacing w:val="-5"/>
      <w:kern w:val="0"/>
      <w:sz w:val="28"/>
      <w:szCs w:val="20"/>
    </w:rPr>
  </w:style>
  <w:style w:type="paragraph" w:styleId="3">
    <w:name w:val="Body Text First Indent"/>
    <w:basedOn w:val="2"/>
    <w:next w:val="1"/>
    <w:unhideWhenUsed/>
    <w:qFormat/>
    <w:uiPriority w:val="99"/>
    <w:pPr>
      <w:ind w:firstLine="420"/>
    </w:pPr>
    <w:rPr>
      <w:rFonts w:hAns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2026-05-21T06:54:09Z</dcterms:created>
  <dc:creator>平建波</dc:creator>
  <cp:lastModifiedBy>crows</cp:lastModifiedBy>
  <dcterms:modified xsi:type="dcterms:W3CDTF">2026-05-21T06:57:26Z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eyJoZGlkIjoiNTMzZTFhODBmMmJhYWVmODZjODY1ZTllNmVlNjFjMGQiLCJ1c2VySWQiOiI0NTgzNjc2MzQifQ==</vt:lpwstr>
  </property>
  <property fmtid="{D5CDD505-2E9C-101B-9397-08002B2CF9AE}" pid="4" name="ICV">
    <vt:lpwstr>BF19875C809A47A3BF29C568FEAADE13_12</vt:lpwstr>
  </property>
</Properties>
</file>