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42116F">
      <w:pPr>
        <w:tabs>
          <w:tab w:val="left" w:pos="7920"/>
          <w:tab w:val="left" w:pos="8280"/>
        </w:tabs>
        <w:ind w:left="974" w:leftChars="464" w:right="1260" w:rightChars="600"/>
        <w:jc w:val="center"/>
        <w:rPr>
          <w:rFonts w:hint="eastAsia"/>
          <w:b/>
          <w:bCs/>
          <w:sz w:val="32"/>
        </w:rPr>
      </w:pPr>
      <w:r>
        <w:rPr>
          <w:rFonts w:hint="eastAsia"/>
          <w:b/>
          <w:bCs/>
          <w:sz w:val="32"/>
        </w:rPr>
        <w:t>南门未来社区改造提升项目</w:t>
      </w:r>
    </w:p>
    <w:p w14:paraId="19C963CF">
      <w:pPr>
        <w:tabs>
          <w:tab w:val="left" w:pos="7920"/>
          <w:tab w:val="left" w:pos="8280"/>
        </w:tabs>
        <w:ind w:left="974" w:leftChars="464" w:right="1260" w:rightChars="600"/>
        <w:jc w:val="center"/>
        <w:rPr>
          <w:rFonts w:hint="eastAsia"/>
          <w:b/>
          <w:bCs/>
          <w:sz w:val="32"/>
        </w:rPr>
      </w:pPr>
      <w:r>
        <w:rPr>
          <w:rFonts w:hint="eastAsia"/>
          <w:b/>
          <w:bCs/>
          <w:sz w:val="32"/>
        </w:rPr>
        <w:t>工程量清单（招标控制价）编制说明</w:t>
      </w:r>
    </w:p>
    <w:p w14:paraId="10CFCE90">
      <w:pPr>
        <w:numPr>
          <w:ilvl w:val="0"/>
          <w:numId w:val="1"/>
        </w:numPr>
        <w:spacing w:line="360" w:lineRule="auto"/>
        <w:rPr>
          <w:rFonts w:hint="eastAsia"/>
          <w:b/>
          <w:color w:val="FF0000"/>
          <w:sz w:val="24"/>
        </w:rPr>
      </w:pPr>
      <w:r>
        <w:rPr>
          <w:rFonts w:hint="eastAsia"/>
          <w:b/>
          <w:color w:val="FF0000"/>
          <w:sz w:val="24"/>
        </w:rPr>
        <w:t>工程概况</w:t>
      </w:r>
    </w:p>
    <w:p w14:paraId="114F088C">
      <w:pPr>
        <w:numPr>
          <w:ilvl w:val="0"/>
          <w:numId w:val="2"/>
        </w:numPr>
        <w:spacing w:line="360" w:lineRule="auto"/>
        <w:rPr>
          <w:rFonts w:hint="eastAsia"/>
          <w:sz w:val="24"/>
        </w:rPr>
      </w:pPr>
      <w:r>
        <w:rPr>
          <w:rFonts w:hint="eastAsia"/>
          <w:b/>
          <w:sz w:val="24"/>
        </w:rPr>
        <w:t>工程地址：</w:t>
      </w:r>
      <w:r>
        <w:rPr>
          <w:rFonts w:hint="eastAsia" w:ascii="Calibri" w:hAnsi="Calibri" w:cs="Times New Roman"/>
          <w:szCs w:val="21"/>
          <w:lang w:val="en-US" w:eastAsia="zh-CN"/>
        </w:rPr>
        <w:t>桐君街道南门社区</w:t>
      </w:r>
    </w:p>
    <w:p w14:paraId="0DFEC408">
      <w:pPr>
        <w:numPr>
          <w:ilvl w:val="0"/>
          <w:numId w:val="2"/>
        </w:numPr>
        <w:spacing w:line="360" w:lineRule="auto"/>
        <w:rPr>
          <w:rFonts w:hint="eastAsia"/>
          <w:szCs w:val="21"/>
        </w:rPr>
      </w:pPr>
      <w:r>
        <w:rPr>
          <w:rFonts w:hint="eastAsia"/>
          <w:b/>
          <w:sz w:val="24"/>
        </w:rPr>
        <w:t>建设规模：</w:t>
      </w:r>
      <w:r>
        <w:rPr>
          <w:rFonts w:hint="eastAsia"/>
          <w:szCs w:val="21"/>
          <w:lang w:val="en-US" w:eastAsia="zh-CN"/>
        </w:rPr>
        <w:t>桐君街道南门社区服务综合体建设项目</w:t>
      </w:r>
    </w:p>
    <w:p w14:paraId="04A425E0">
      <w:pPr>
        <w:numPr>
          <w:ilvl w:val="0"/>
          <w:numId w:val="2"/>
        </w:numPr>
        <w:spacing w:line="360" w:lineRule="auto"/>
        <w:rPr>
          <w:rFonts w:hint="eastAsia"/>
          <w:szCs w:val="21"/>
        </w:rPr>
      </w:pPr>
      <w:r>
        <w:rPr>
          <w:rFonts w:hint="eastAsia"/>
          <w:b/>
          <w:sz w:val="24"/>
        </w:rPr>
        <w:t>工程特征：</w:t>
      </w:r>
      <w:r>
        <w:rPr>
          <w:rFonts w:hint="eastAsia" w:ascii="Times New Roman" w:hAnsi="Times New Roman" w:cs="Times New Roman"/>
          <w:szCs w:val="21"/>
          <w:lang w:val="en-US" w:eastAsia="zh-CN"/>
        </w:rPr>
        <w:t>房屋改造</w:t>
      </w:r>
      <w:r>
        <w:rPr>
          <w:rFonts w:hint="eastAsia"/>
          <w:szCs w:val="21"/>
          <w:lang w:val="en-US" w:eastAsia="zh-CN"/>
        </w:rPr>
        <w:t>、装修、水电安装、智能化工程等；</w:t>
      </w:r>
    </w:p>
    <w:p w14:paraId="3C9899F2">
      <w:pPr>
        <w:numPr>
          <w:ilvl w:val="0"/>
          <w:numId w:val="2"/>
        </w:numPr>
        <w:spacing w:line="360" w:lineRule="auto"/>
        <w:rPr>
          <w:rFonts w:hint="eastAsia"/>
          <w:sz w:val="24"/>
        </w:rPr>
      </w:pPr>
      <w:r>
        <w:rPr>
          <w:rFonts w:hint="eastAsia"/>
          <w:b/>
          <w:sz w:val="24"/>
        </w:rPr>
        <w:t>计划工期：</w:t>
      </w:r>
      <w:r>
        <w:rPr>
          <w:rFonts w:hint="eastAsia"/>
          <w:szCs w:val="21"/>
        </w:rPr>
        <w:t>详见招标文件；</w:t>
      </w:r>
    </w:p>
    <w:p w14:paraId="489AEF1F">
      <w:pPr>
        <w:numPr>
          <w:ilvl w:val="0"/>
          <w:numId w:val="2"/>
        </w:numPr>
        <w:spacing w:line="360" w:lineRule="auto"/>
        <w:rPr>
          <w:rFonts w:hint="eastAsia"/>
          <w:sz w:val="24"/>
        </w:rPr>
      </w:pPr>
      <w:r>
        <w:rPr>
          <w:rFonts w:hint="eastAsia"/>
          <w:b/>
          <w:sz w:val="24"/>
        </w:rPr>
        <w:t>施工现场情况：</w:t>
      </w:r>
      <w:r>
        <w:rPr>
          <w:rFonts w:hint="eastAsia"/>
          <w:szCs w:val="21"/>
        </w:rPr>
        <w:t>已完成三通一平；</w:t>
      </w:r>
    </w:p>
    <w:p w14:paraId="36AFF000">
      <w:pPr>
        <w:numPr>
          <w:ilvl w:val="0"/>
          <w:numId w:val="2"/>
        </w:numPr>
        <w:spacing w:line="360" w:lineRule="auto"/>
        <w:rPr>
          <w:rFonts w:hint="eastAsia"/>
          <w:sz w:val="24"/>
        </w:rPr>
      </w:pPr>
      <w:r>
        <w:rPr>
          <w:rFonts w:hint="eastAsia"/>
          <w:b/>
          <w:sz w:val="24"/>
        </w:rPr>
        <w:t>自然地理条件：</w:t>
      </w:r>
      <w:r>
        <w:rPr>
          <w:rFonts w:hint="eastAsia"/>
          <w:szCs w:val="21"/>
        </w:rPr>
        <w:t>施工区域内降水、温度等正常，地势较为平坦，施工区域内无名贵、古树木等；</w:t>
      </w:r>
    </w:p>
    <w:p w14:paraId="663D92BB">
      <w:pPr>
        <w:numPr>
          <w:ilvl w:val="0"/>
          <w:numId w:val="2"/>
        </w:numPr>
        <w:spacing w:line="360" w:lineRule="auto"/>
        <w:rPr>
          <w:rFonts w:hint="eastAsia"/>
          <w:sz w:val="24"/>
        </w:rPr>
      </w:pPr>
      <w:r>
        <w:rPr>
          <w:rFonts w:hint="eastAsia"/>
          <w:b/>
          <w:sz w:val="24"/>
        </w:rPr>
        <w:t>环境保护要求：</w:t>
      </w:r>
      <w:r>
        <w:rPr>
          <w:rFonts w:hint="eastAsia"/>
          <w:szCs w:val="21"/>
        </w:rPr>
        <w:t>符合国家、省、市及工程所在地有关绿色施工，环境保护等要求。</w:t>
      </w:r>
    </w:p>
    <w:p w14:paraId="7EF979AC">
      <w:pPr>
        <w:numPr>
          <w:ilvl w:val="0"/>
          <w:numId w:val="1"/>
        </w:numPr>
        <w:spacing w:line="360" w:lineRule="auto"/>
        <w:rPr>
          <w:rFonts w:hint="eastAsia"/>
          <w:b/>
          <w:color w:val="FF0000"/>
          <w:sz w:val="24"/>
        </w:rPr>
      </w:pPr>
      <w:r>
        <w:rPr>
          <w:rFonts w:hint="eastAsia"/>
          <w:b/>
          <w:color w:val="FF0000"/>
          <w:sz w:val="24"/>
        </w:rPr>
        <w:t>工程招标及分包范围：</w:t>
      </w:r>
    </w:p>
    <w:p w14:paraId="1B7C62BB">
      <w:pPr>
        <w:spacing w:line="360" w:lineRule="auto"/>
        <w:ind w:left="420"/>
        <w:rPr>
          <w:rFonts w:hint="eastAsia"/>
          <w:szCs w:val="21"/>
        </w:rPr>
      </w:pPr>
      <w:r>
        <w:rPr>
          <w:rFonts w:hint="eastAsia"/>
          <w:szCs w:val="21"/>
        </w:rPr>
        <w:t>（一）</w:t>
      </w:r>
      <w:r>
        <w:rPr>
          <w:rFonts w:hint="eastAsia"/>
          <w:szCs w:val="21"/>
          <w:lang w:val="en-US" w:eastAsia="zh-CN"/>
        </w:rPr>
        <w:t>.</w:t>
      </w:r>
      <w:r>
        <w:rPr>
          <w:rFonts w:hint="eastAsia"/>
          <w:szCs w:val="21"/>
        </w:rPr>
        <w:t>招标范围：</w:t>
      </w:r>
    </w:p>
    <w:p w14:paraId="64A002E9">
      <w:pPr>
        <w:spacing w:line="360" w:lineRule="auto"/>
        <w:ind w:left="420"/>
        <w:rPr>
          <w:rFonts w:hint="eastAsia"/>
          <w:szCs w:val="21"/>
        </w:rPr>
      </w:pPr>
      <w:r>
        <w:rPr>
          <w:rFonts w:hint="eastAsia"/>
          <w:szCs w:val="21"/>
        </w:rPr>
        <w:t xml:space="preserve">   1</w:t>
      </w:r>
      <w:r>
        <w:rPr>
          <w:rFonts w:hint="eastAsia"/>
          <w:szCs w:val="21"/>
          <w:lang w:val="en-US" w:eastAsia="zh-CN"/>
        </w:rPr>
        <w:t>.</w:t>
      </w:r>
      <w:r>
        <w:rPr>
          <w:rFonts w:hint="eastAsia"/>
          <w:szCs w:val="21"/>
        </w:rPr>
        <w:t>施工图范围内所有工程量（除本编制说明中注明的除外）;</w:t>
      </w:r>
    </w:p>
    <w:p w14:paraId="7C957996">
      <w:pPr>
        <w:spacing w:line="360" w:lineRule="auto"/>
        <w:ind w:left="420"/>
        <w:rPr>
          <w:rFonts w:hint="eastAsia"/>
          <w:szCs w:val="21"/>
        </w:rPr>
      </w:pPr>
      <w:r>
        <w:rPr>
          <w:rFonts w:hint="eastAsia"/>
          <w:szCs w:val="21"/>
        </w:rPr>
        <w:t>（二）</w:t>
      </w:r>
      <w:r>
        <w:rPr>
          <w:rFonts w:hint="eastAsia"/>
          <w:szCs w:val="21"/>
          <w:lang w:val="en-US" w:eastAsia="zh-CN"/>
        </w:rPr>
        <w:t>.</w:t>
      </w:r>
      <w:r>
        <w:rPr>
          <w:rFonts w:hint="eastAsia"/>
          <w:szCs w:val="21"/>
        </w:rPr>
        <w:t>分包范围：</w:t>
      </w:r>
    </w:p>
    <w:p w14:paraId="77962DDC">
      <w:pPr>
        <w:spacing w:line="360" w:lineRule="auto"/>
        <w:ind w:left="420"/>
        <w:rPr>
          <w:rFonts w:hint="eastAsia"/>
          <w:szCs w:val="21"/>
        </w:rPr>
      </w:pPr>
      <w:r>
        <w:rPr>
          <w:rFonts w:hint="eastAsia"/>
          <w:szCs w:val="21"/>
        </w:rPr>
        <w:t xml:space="preserve">   1</w:t>
      </w:r>
      <w:r>
        <w:rPr>
          <w:rFonts w:hint="eastAsia"/>
          <w:szCs w:val="21"/>
          <w:lang w:val="en-US" w:eastAsia="zh-CN"/>
        </w:rPr>
        <w:t>.</w:t>
      </w:r>
      <w:r>
        <w:rPr>
          <w:rFonts w:hint="eastAsia"/>
          <w:szCs w:val="21"/>
        </w:rPr>
        <w:t>无分包内容。</w:t>
      </w:r>
    </w:p>
    <w:p w14:paraId="578E8D5B">
      <w:pPr>
        <w:numPr>
          <w:ilvl w:val="0"/>
          <w:numId w:val="1"/>
        </w:numPr>
        <w:spacing w:line="360" w:lineRule="auto"/>
        <w:rPr>
          <w:rFonts w:hint="eastAsia"/>
          <w:b/>
          <w:color w:val="FF0000"/>
          <w:sz w:val="24"/>
        </w:rPr>
      </w:pPr>
      <w:r>
        <w:rPr>
          <w:b/>
          <w:color w:val="FF0000"/>
          <w:sz w:val="24"/>
        </w:rPr>
        <w:t>工程量清单</w:t>
      </w:r>
      <w:r>
        <w:rPr>
          <w:rFonts w:hint="eastAsia"/>
          <w:b/>
          <w:color w:val="FF0000"/>
          <w:sz w:val="24"/>
        </w:rPr>
        <w:t>（招标控制价）</w:t>
      </w:r>
      <w:r>
        <w:rPr>
          <w:b/>
          <w:color w:val="FF0000"/>
          <w:sz w:val="24"/>
        </w:rPr>
        <w:t>编制依据：</w:t>
      </w:r>
    </w:p>
    <w:p w14:paraId="4BE39C79">
      <w:pPr>
        <w:keepNext w:val="0"/>
        <w:keepLines w:val="0"/>
        <w:pageBreakBefore w:val="0"/>
        <w:widowControl w:val="0"/>
        <w:numPr>
          <w:ilvl w:val="0"/>
          <w:numId w:val="3"/>
        </w:numPr>
        <w:kinsoku/>
        <w:wordWrap/>
        <w:overflowPunct/>
        <w:topLinePunct w:val="0"/>
        <w:autoSpaceDE/>
        <w:autoSpaceDN/>
        <w:bidi w:val="0"/>
        <w:adjustRightInd/>
        <w:snapToGrid w:val="0"/>
        <w:spacing w:line="360" w:lineRule="auto"/>
        <w:ind w:right="0" w:rightChars="0"/>
        <w:textAlignment w:val="auto"/>
        <w:outlineLvl w:val="9"/>
        <w:rPr>
          <w:rFonts w:hint="eastAsia"/>
          <w:sz w:val="21"/>
          <w:szCs w:val="21"/>
        </w:rPr>
      </w:pPr>
      <w:r>
        <w:rPr>
          <w:rFonts w:hint="eastAsia"/>
          <w:sz w:val="21"/>
          <w:szCs w:val="21"/>
        </w:rPr>
        <w:t>《建设工程工程量清单计价规范（GB50500－2013）》</w:t>
      </w:r>
      <w:r>
        <w:rPr>
          <w:rFonts w:hint="eastAsia"/>
          <w:sz w:val="21"/>
          <w:szCs w:val="21"/>
          <w:lang w:eastAsia="zh-CN"/>
        </w:rPr>
        <w:t>；</w:t>
      </w:r>
    </w:p>
    <w:p w14:paraId="202389AA">
      <w:pPr>
        <w:keepNext w:val="0"/>
        <w:keepLines w:val="0"/>
        <w:pageBreakBefore w:val="0"/>
        <w:widowControl w:val="0"/>
        <w:numPr>
          <w:ilvl w:val="0"/>
          <w:numId w:val="3"/>
        </w:numPr>
        <w:kinsoku/>
        <w:wordWrap/>
        <w:overflowPunct/>
        <w:topLinePunct w:val="0"/>
        <w:autoSpaceDE/>
        <w:autoSpaceDN/>
        <w:bidi w:val="0"/>
        <w:adjustRightInd/>
        <w:snapToGrid w:val="0"/>
        <w:spacing w:line="360" w:lineRule="auto"/>
        <w:ind w:right="0" w:rightChars="0"/>
        <w:textAlignment w:val="auto"/>
        <w:outlineLvl w:val="9"/>
        <w:rPr>
          <w:rFonts w:hint="eastAsia"/>
          <w:sz w:val="21"/>
          <w:szCs w:val="21"/>
        </w:rPr>
      </w:pPr>
      <w:r>
        <w:rPr>
          <w:rFonts w:hint="eastAsia"/>
          <w:sz w:val="21"/>
          <w:szCs w:val="21"/>
        </w:rPr>
        <w:t>《建设工程工程量计算规范（2013）浙江省补充规定》（浙建站计（2013）63号文件）</w:t>
      </w:r>
      <w:r>
        <w:rPr>
          <w:rFonts w:hint="eastAsia"/>
          <w:sz w:val="21"/>
          <w:szCs w:val="21"/>
          <w:lang w:eastAsia="zh-CN"/>
        </w:rPr>
        <w:t>；</w:t>
      </w:r>
    </w:p>
    <w:p w14:paraId="20FF2D69">
      <w:pPr>
        <w:keepNext w:val="0"/>
        <w:keepLines w:val="0"/>
        <w:pageBreakBefore w:val="0"/>
        <w:widowControl w:val="0"/>
        <w:numPr>
          <w:ilvl w:val="0"/>
          <w:numId w:val="3"/>
        </w:numPr>
        <w:kinsoku/>
        <w:wordWrap/>
        <w:overflowPunct/>
        <w:topLinePunct w:val="0"/>
        <w:autoSpaceDE/>
        <w:autoSpaceDN/>
        <w:bidi w:val="0"/>
        <w:adjustRightInd/>
        <w:snapToGrid w:val="0"/>
        <w:spacing w:line="360" w:lineRule="auto"/>
        <w:ind w:right="0" w:rightChars="0"/>
        <w:textAlignment w:val="auto"/>
        <w:outlineLvl w:val="9"/>
        <w:rPr>
          <w:rFonts w:hint="eastAsia"/>
          <w:sz w:val="21"/>
          <w:szCs w:val="21"/>
        </w:rPr>
      </w:pPr>
      <w:r>
        <w:rPr>
          <w:rFonts w:hint="eastAsia"/>
          <w:sz w:val="21"/>
          <w:szCs w:val="21"/>
        </w:rPr>
        <w:t>《建设工程工程量计算规范（2013）浙江省补充规定（二）》（浙建站计（2014）31号文件）</w:t>
      </w:r>
      <w:r>
        <w:rPr>
          <w:rFonts w:hint="eastAsia"/>
          <w:sz w:val="21"/>
          <w:szCs w:val="21"/>
          <w:lang w:eastAsia="zh-CN"/>
        </w:rPr>
        <w:t>；</w:t>
      </w:r>
    </w:p>
    <w:p w14:paraId="379095F9">
      <w:pPr>
        <w:keepNext w:val="0"/>
        <w:keepLines w:val="0"/>
        <w:pageBreakBefore w:val="0"/>
        <w:widowControl w:val="0"/>
        <w:numPr>
          <w:ilvl w:val="0"/>
          <w:numId w:val="3"/>
        </w:numPr>
        <w:kinsoku/>
        <w:wordWrap/>
        <w:overflowPunct/>
        <w:topLinePunct w:val="0"/>
        <w:autoSpaceDE/>
        <w:autoSpaceDN/>
        <w:bidi w:val="0"/>
        <w:adjustRightInd/>
        <w:snapToGrid w:val="0"/>
        <w:spacing w:line="360" w:lineRule="auto"/>
        <w:ind w:right="0" w:rightChars="0"/>
        <w:textAlignment w:val="auto"/>
        <w:outlineLvl w:val="9"/>
        <w:rPr>
          <w:rFonts w:hint="eastAsia"/>
          <w:sz w:val="21"/>
          <w:szCs w:val="21"/>
        </w:rPr>
      </w:pPr>
      <w:r>
        <w:rPr>
          <w:rFonts w:hint="eastAsia"/>
          <w:sz w:val="21"/>
          <w:szCs w:val="21"/>
        </w:rPr>
        <w:t>《关于印发&lt;杭州市建设工程工程量清单计价实施细则（201</w:t>
      </w:r>
      <w:r>
        <w:rPr>
          <w:rFonts w:hint="eastAsia"/>
          <w:sz w:val="21"/>
          <w:szCs w:val="21"/>
          <w:lang w:val="en-US" w:eastAsia="zh-CN"/>
        </w:rPr>
        <w:t>8</w:t>
      </w:r>
      <w:r>
        <w:rPr>
          <w:rFonts w:hint="eastAsia"/>
          <w:sz w:val="21"/>
          <w:szCs w:val="21"/>
        </w:rPr>
        <w:t>修订）&gt;的通知》，（杭建市发 [201</w:t>
      </w:r>
      <w:r>
        <w:rPr>
          <w:rFonts w:hint="eastAsia"/>
          <w:sz w:val="21"/>
          <w:szCs w:val="21"/>
          <w:lang w:val="en-US" w:eastAsia="zh-CN"/>
        </w:rPr>
        <w:t>8</w:t>
      </w:r>
      <w:r>
        <w:rPr>
          <w:rFonts w:hint="eastAsia"/>
          <w:sz w:val="21"/>
          <w:szCs w:val="21"/>
        </w:rPr>
        <w:t>]</w:t>
      </w:r>
      <w:r>
        <w:rPr>
          <w:rFonts w:hint="eastAsia"/>
          <w:sz w:val="21"/>
          <w:szCs w:val="21"/>
          <w:lang w:val="en-US" w:eastAsia="zh-CN"/>
        </w:rPr>
        <w:t>578</w:t>
      </w:r>
      <w:r>
        <w:rPr>
          <w:rFonts w:hint="eastAsia"/>
          <w:sz w:val="21"/>
          <w:szCs w:val="21"/>
        </w:rPr>
        <w:t>号）</w:t>
      </w:r>
      <w:r>
        <w:rPr>
          <w:rFonts w:hint="eastAsia"/>
          <w:sz w:val="21"/>
          <w:szCs w:val="21"/>
          <w:lang w:eastAsia="zh-CN"/>
        </w:rPr>
        <w:t>；</w:t>
      </w:r>
    </w:p>
    <w:p w14:paraId="254F7F14">
      <w:pPr>
        <w:keepNext w:val="0"/>
        <w:keepLines w:val="0"/>
        <w:pageBreakBefore w:val="0"/>
        <w:widowControl w:val="0"/>
        <w:numPr>
          <w:ilvl w:val="0"/>
          <w:numId w:val="3"/>
        </w:numPr>
        <w:kinsoku/>
        <w:wordWrap/>
        <w:overflowPunct/>
        <w:topLinePunct w:val="0"/>
        <w:autoSpaceDE/>
        <w:autoSpaceDN/>
        <w:bidi w:val="0"/>
        <w:adjustRightInd/>
        <w:snapToGrid w:val="0"/>
        <w:spacing w:line="360" w:lineRule="auto"/>
        <w:ind w:right="0" w:rightChars="0"/>
        <w:textAlignment w:val="auto"/>
        <w:outlineLvl w:val="9"/>
        <w:rPr>
          <w:sz w:val="21"/>
          <w:szCs w:val="21"/>
        </w:rPr>
      </w:pPr>
      <w:r>
        <w:rPr>
          <w:rFonts w:hint="eastAsia"/>
          <w:sz w:val="21"/>
          <w:szCs w:val="21"/>
          <w:lang w:eastAsia="zh-CN"/>
        </w:rPr>
        <w:t>《</w:t>
      </w:r>
      <w:r>
        <w:rPr>
          <w:rFonts w:hint="eastAsia"/>
          <w:sz w:val="21"/>
          <w:szCs w:val="21"/>
          <w:lang w:val="en-US" w:eastAsia="zh-CN"/>
        </w:rPr>
        <w:t>浙江省建设工程计价规则2018版</w:t>
      </w:r>
      <w:r>
        <w:rPr>
          <w:rFonts w:hint="eastAsia"/>
          <w:sz w:val="21"/>
          <w:szCs w:val="21"/>
          <w:lang w:eastAsia="zh-CN"/>
        </w:rPr>
        <w:t>》、</w:t>
      </w:r>
      <w:r>
        <w:rPr>
          <w:rFonts w:hint="eastAsia"/>
          <w:color w:val="000000"/>
          <w:sz w:val="21"/>
          <w:szCs w:val="21"/>
          <w:lang w:eastAsia="zh-CN"/>
        </w:rPr>
        <w:t>《</w:t>
      </w:r>
      <w:r>
        <w:rPr>
          <w:rFonts w:hint="eastAsia"/>
          <w:color w:val="000000"/>
          <w:sz w:val="21"/>
          <w:szCs w:val="21"/>
          <w:lang w:val="en-US" w:eastAsia="zh-CN"/>
        </w:rPr>
        <w:t>浙江省市政工程预算定额2018版</w:t>
      </w:r>
      <w:r>
        <w:rPr>
          <w:rFonts w:hint="eastAsia"/>
          <w:color w:val="000000"/>
          <w:sz w:val="21"/>
          <w:szCs w:val="21"/>
          <w:lang w:eastAsia="zh-CN"/>
        </w:rPr>
        <w:t>》、《</w:t>
      </w:r>
      <w:r>
        <w:rPr>
          <w:rFonts w:hint="eastAsia"/>
          <w:color w:val="000000"/>
          <w:sz w:val="21"/>
          <w:szCs w:val="21"/>
          <w:lang w:val="en-US" w:eastAsia="zh-CN"/>
        </w:rPr>
        <w:t>浙江省园林绿化及仿古建筑工程预算定额2018版</w:t>
      </w:r>
      <w:r>
        <w:rPr>
          <w:rFonts w:hint="eastAsia"/>
          <w:color w:val="000000"/>
          <w:sz w:val="21"/>
          <w:szCs w:val="21"/>
          <w:lang w:eastAsia="zh-CN"/>
        </w:rPr>
        <w:t>》、《</w:t>
      </w:r>
      <w:r>
        <w:rPr>
          <w:rFonts w:hint="eastAsia"/>
          <w:color w:val="000000"/>
          <w:sz w:val="21"/>
          <w:szCs w:val="21"/>
          <w:lang w:val="en-US" w:eastAsia="zh-CN"/>
        </w:rPr>
        <w:t>浙江省房屋建筑与装饰工程预算定额2018版</w:t>
      </w:r>
      <w:r>
        <w:rPr>
          <w:rFonts w:hint="eastAsia"/>
          <w:color w:val="000000"/>
          <w:sz w:val="21"/>
          <w:szCs w:val="21"/>
          <w:lang w:eastAsia="zh-CN"/>
        </w:rPr>
        <w:t>》、《</w:t>
      </w:r>
      <w:r>
        <w:rPr>
          <w:rFonts w:hint="eastAsia"/>
          <w:color w:val="000000"/>
          <w:sz w:val="21"/>
          <w:szCs w:val="21"/>
          <w:lang w:val="en-US" w:eastAsia="zh-CN"/>
        </w:rPr>
        <w:t>浙江省通用安装工程预算定额2018版</w:t>
      </w:r>
      <w:r>
        <w:rPr>
          <w:rFonts w:hint="eastAsia"/>
          <w:color w:val="000000"/>
          <w:sz w:val="21"/>
          <w:szCs w:val="21"/>
          <w:lang w:eastAsia="zh-CN"/>
        </w:rPr>
        <w:t>》、《</w:t>
      </w:r>
      <w:r>
        <w:rPr>
          <w:rFonts w:hint="eastAsia"/>
          <w:color w:val="000000"/>
          <w:sz w:val="21"/>
          <w:szCs w:val="21"/>
          <w:lang w:val="en-US" w:eastAsia="zh-CN"/>
        </w:rPr>
        <w:t>浙江省建设工程施工机械台班费用定额2018版</w:t>
      </w:r>
      <w:r>
        <w:rPr>
          <w:rFonts w:hint="eastAsia"/>
          <w:color w:val="000000"/>
          <w:sz w:val="21"/>
          <w:szCs w:val="21"/>
          <w:lang w:eastAsia="zh-CN"/>
        </w:rPr>
        <w:t>》、《</w:t>
      </w:r>
      <w:r>
        <w:rPr>
          <w:rFonts w:hint="eastAsia"/>
          <w:color w:val="000000"/>
          <w:sz w:val="21"/>
          <w:szCs w:val="21"/>
          <w:lang w:val="en-US" w:eastAsia="zh-CN"/>
        </w:rPr>
        <w:t>浙江省建筑安装材料机器价格2018版</w:t>
      </w:r>
      <w:r>
        <w:rPr>
          <w:rFonts w:hint="eastAsia"/>
          <w:color w:val="000000"/>
          <w:sz w:val="21"/>
          <w:szCs w:val="21"/>
          <w:lang w:eastAsia="zh-CN"/>
        </w:rPr>
        <w:t>》、《</w:t>
      </w:r>
      <w:r>
        <w:rPr>
          <w:rFonts w:hint="eastAsia"/>
          <w:color w:val="000000"/>
          <w:sz w:val="21"/>
          <w:szCs w:val="21"/>
          <w:lang w:val="en-US" w:eastAsia="zh-CN"/>
        </w:rPr>
        <w:t>浙江省城市轨道交通工程预算定额2018版</w:t>
      </w:r>
      <w:r>
        <w:rPr>
          <w:rFonts w:hint="eastAsia"/>
          <w:color w:val="000000"/>
          <w:sz w:val="21"/>
          <w:szCs w:val="21"/>
          <w:lang w:eastAsia="zh-CN"/>
        </w:rPr>
        <w:t>》；</w:t>
      </w:r>
    </w:p>
    <w:p w14:paraId="160484D1">
      <w:pPr>
        <w:keepNext w:val="0"/>
        <w:keepLines w:val="0"/>
        <w:pageBreakBefore w:val="0"/>
        <w:widowControl w:val="0"/>
        <w:numPr>
          <w:ilvl w:val="0"/>
          <w:numId w:val="3"/>
        </w:numPr>
        <w:kinsoku/>
        <w:wordWrap/>
        <w:overflowPunct/>
        <w:topLinePunct w:val="0"/>
        <w:autoSpaceDE/>
        <w:autoSpaceDN/>
        <w:bidi w:val="0"/>
        <w:adjustRightInd/>
        <w:snapToGrid w:val="0"/>
        <w:spacing w:line="360" w:lineRule="auto"/>
        <w:ind w:right="0" w:rightChars="0"/>
        <w:textAlignment w:val="auto"/>
        <w:outlineLvl w:val="9"/>
        <w:rPr>
          <w:rFonts w:hint="eastAsia"/>
          <w:sz w:val="21"/>
          <w:szCs w:val="21"/>
          <w:lang w:val="en-US" w:eastAsia="zh-CN"/>
        </w:rPr>
      </w:pPr>
      <w:r>
        <w:rPr>
          <w:rFonts w:hint="eastAsia"/>
          <w:sz w:val="21"/>
          <w:szCs w:val="21"/>
          <w:lang w:val="en-US" w:eastAsia="zh-CN"/>
        </w:rPr>
        <w:t>《关于增值税调整后我省建设工程计价依据增值税税率及有关计价调整的通知》（浙建建发【2019】92 号）</w:t>
      </w:r>
    </w:p>
    <w:p w14:paraId="7EB9C71C">
      <w:pPr>
        <w:keepNext w:val="0"/>
        <w:keepLines w:val="0"/>
        <w:pageBreakBefore w:val="0"/>
        <w:widowControl w:val="0"/>
        <w:numPr>
          <w:ilvl w:val="0"/>
          <w:numId w:val="3"/>
        </w:numPr>
        <w:kinsoku/>
        <w:wordWrap/>
        <w:overflowPunct/>
        <w:topLinePunct w:val="0"/>
        <w:autoSpaceDE/>
        <w:autoSpaceDN/>
        <w:bidi w:val="0"/>
        <w:adjustRightInd/>
        <w:snapToGrid w:val="0"/>
        <w:spacing w:line="360" w:lineRule="auto"/>
        <w:ind w:right="0" w:rightChars="0"/>
        <w:textAlignment w:val="auto"/>
        <w:outlineLvl w:val="9"/>
        <w:rPr>
          <w:rFonts w:hint="eastAsia"/>
          <w:sz w:val="21"/>
          <w:szCs w:val="21"/>
        </w:rPr>
      </w:pPr>
      <w:r>
        <w:rPr>
          <w:rFonts w:hint="eastAsia"/>
          <w:sz w:val="21"/>
          <w:szCs w:val="21"/>
        </w:rPr>
        <w:t>建设工程设计文件：施工图</w:t>
      </w:r>
    </w:p>
    <w:p w14:paraId="76B8D5FB">
      <w:pPr>
        <w:keepNext w:val="0"/>
        <w:keepLines w:val="0"/>
        <w:pageBreakBefore w:val="0"/>
        <w:widowControl w:val="0"/>
        <w:numPr>
          <w:ilvl w:val="0"/>
          <w:numId w:val="3"/>
        </w:numPr>
        <w:kinsoku/>
        <w:wordWrap/>
        <w:overflowPunct/>
        <w:topLinePunct w:val="0"/>
        <w:autoSpaceDE/>
        <w:autoSpaceDN/>
        <w:bidi w:val="0"/>
        <w:adjustRightInd/>
        <w:snapToGrid w:val="0"/>
        <w:spacing w:line="360" w:lineRule="auto"/>
        <w:ind w:right="0" w:rightChars="0"/>
        <w:textAlignment w:val="auto"/>
        <w:outlineLvl w:val="9"/>
        <w:rPr>
          <w:rFonts w:hint="eastAsia"/>
          <w:sz w:val="21"/>
          <w:szCs w:val="21"/>
        </w:rPr>
      </w:pPr>
      <w:r>
        <w:rPr>
          <w:sz w:val="21"/>
          <w:szCs w:val="21"/>
        </w:rPr>
        <w:t>与建设工程项目有关的标准、规范、技术资料</w:t>
      </w:r>
      <w:r>
        <w:rPr>
          <w:rFonts w:hint="eastAsia"/>
          <w:sz w:val="21"/>
          <w:szCs w:val="21"/>
        </w:rPr>
        <w:t>；</w:t>
      </w:r>
    </w:p>
    <w:p w14:paraId="033A3615">
      <w:pPr>
        <w:keepNext w:val="0"/>
        <w:keepLines w:val="0"/>
        <w:pageBreakBefore w:val="0"/>
        <w:widowControl w:val="0"/>
        <w:numPr>
          <w:ilvl w:val="0"/>
          <w:numId w:val="3"/>
        </w:numPr>
        <w:kinsoku/>
        <w:wordWrap/>
        <w:overflowPunct/>
        <w:topLinePunct w:val="0"/>
        <w:autoSpaceDE/>
        <w:autoSpaceDN/>
        <w:bidi w:val="0"/>
        <w:adjustRightInd/>
        <w:snapToGrid w:val="0"/>
        <w:spacing w:line="360" w:lineRule="auto"/>
        <w:ind w:right="0" w:rightChars="0"/>
        <w:textAlignment w:val="auto"/>
        <w:outlineLvl w:val="9"/>
        <w:rPr>
          <w:sz w:val="21"/>
          <w:szCs w:val="21"/>
        </w:rPr>
      </w:pPr>
      <w:r>
        <w:rPr>
          <w:rFonts w:hint="eastAsia"/>
          <w:sz w:val="21"/>
          <w:szCs w:val="21"/>
        </w:rPr>
        <w:t>拟定的招标文件</w:t>
      </w:r>
      <w:r>
        <w:rPr>
          <w:rFonts w:hint="eastAsia"/>
          <w:sz w:val="21"/>
          <w:szCs w:val="21"/>
          <w:lang w:eastAsia="zh-CN"/>
        </w:rPr>
        <w:t>；</w:t>
      </w:r>
    </w:p>
    <w:p w14:paraId="33E33208">
      <w:pPr>
        <w:keepNext w:val="0"/>
        <w:keepLines w:val="0"/>
        <w:pageBreakBefore w:val="0"/>
        <w:widowControl w:val="0"/>
        <w:numPr>
          <w:ilvl w:val="0"/>
          <w:numId w:val="3"/>
        </w:numPr>
        <w:kinsoku/>
        <w:wordWrap/>
        <w:overflowPunct/>
        <w:topLinePunct w:val="0"/>
        <w:autoSpaceDE/>
        <w:autoSpaceDN/>
        <w:bidi w:val="0"/>
        <w:adjustRightInd/>
        <w:snapToGrid w:val="0"/>
        <w:spacing w:line="360" w:lineRule="auto"/>
        <w:ind w:right="0" w:rightChars="0"/>
        <w:textAlignment w:val="auto"/>
        <w:outlineLvl w:val="9"/>
        <w:rPr>
          <w:rFonts w:hint="eastAsia"/>
          <w:sz w:val="21"/>
          <w:szCs w:val="21"/>
        </w:rPr>
      </w:pPr>
      <w:r>
        <w:rPr>
          <w:sz w:val="21"/>
          <w:szCs w:val="21"/>
        </w:rPr>
        <w:t>常规</w:t>
      </w:r>
      <w:r>
        <w:rPr>
          <w:rFonts w:hint="eastAsia"/>
          <w:sz w:val="21"/>
          <w:szCs w:val="21"/>
        </w:rPr>
        <w:t>的</w:t>
      </w:r>
      <w:r>
        <w:rPr>
          <w:sz w:val="21"/>
          <w:szCs w:val="21"/>
        </w:rPr>
        <w:t>施工</w:t>
      </w:r>
      <w:r>
        <w:rPr>
          <w:rFonts w:hint="eastAsia"/>
          <w:sz w:val="21"/>
          <w:szCs w:val="21"/>
        </w:rPr>
        <w:t>组织设计或施工</w:t>
      </w:r>
      <w:r>
        <w:rPr>
          <w:sz w:val="21"/>
          <w:szCs w:val="21"/>
        </w:rPr>
        <w:t>方案</w:t>
      </w:r>
      <w:r>
        <w:rPr>
          <w:rFonts w:hint="eastAsia"/>
          <w:sz w:val="21"/>
          <w:szCs w:val="21"/>
          <w:lang w:eastAsia="zh-CN"/>
        </w:rPr>
        <w:t>（</w:t>
      </w:r>
      <w:r>
        <w:rPr>
          <w:rFonts w:hint="eastAsia"/>
          <w:sz w:val="21"/>
          <w:szCs w:val="21"/>
          <w:lang w:val="en-US" w:eastAsia="zh-CN"/>
        </w:rPr>
        <w:t>未考虑缩短工期</w:t>
      </w:r>
      <w:r>
        <w:rPr>
          <w:rFonts w:hint="eastAsia"/>
          <w:sz w:val="21"/>
          <w:szCs w:val="21"/>
          <w:lang w:eastAsia="zh-CN"/>
        </w:rPr>
        <w:t>）</w:t>
      </w:r>
      <w:r>
        <w:rPr>
          <w:rFonts w:hint="eastAsia"/>
          <w:sz w:val="21"/>
          <w:szCs w:val="21"/>
        </w:rPr>
        <w:t>；</w:t>
      </w:r>
    </w:p>
    <w:p w14:paraId="0AD78ECA">
      <w:pPr>
        <w:keepNext w:val="0"/>
        <w:keepLines w:val="0"/>
        <w:pageBreakBefore w:val="0"/>
        <w:widowControl w:val="0"/>
        <w:numPr>
          <w:ilvl w:val="0"/>
          <w:numId w:val="3"/>
        </w:numPr>
        <w:kinsoku/>
        <w:wordWrap/>
        <w:overflowPunct/>
        <w:topLinePunct w:val="0"/>
        <w:autoSpaceDE/>
        <w:autoSpaceDN/>
        <w:bidi w:val="0"/>
        <w:adjustRightInd/>
        <w:snapToGrid w:val="0"/>
        <w:spacing w:line="360" w:lineRule="auto"/>
        <w:ind w:right="0" w:rightChars="0"/>
        <w:textAlignment w:val="auto"/>
        <w:outlineLvl w:val="9"/>
        <w:rPr>
          <w:sz w:val="21"/>
          <w:szCs w:val="21"/>
        </w:rPr>
      </w:pPr>
      <w:r>
        <w:rPr>
          <w:rFonts w:hint="eastAsia"/>
          <w:sz w:val="21"/>
          <w:szCs w:val="21"/>
        </w:rPr>
        <w:t>信息价采用《杭州造价信息价（</w:t>
      </w:r>
      <w:r>
        <w:rPr>
          <w:rFonts w:hint="eastAsia"/>
          <w:sz w:val="21"/>
          <w:szCs w:val="21"/>
          <w:lang w:val="en-US" w:eastAsia="zh-CN"/>
        </w:rPr>
        <w:t>2026.7</w:t>
      </w:r>
      <w:r>
        <w:rPr>
          <w:rFonts w:hint="eastAsia"/>
          <w:sz w:val="21"/>
          <w:szCs w:val="21"/>
        </w:rPr>
        <w:t>）》桐庐地区信息价，桐庐地区无信息价的参照杭州地区信息价</w:t>
      </w:r>
      <w:r>
        <w:rPr>
          <w:rFonts w:hint="eastAsia"/>
          <w:sz w:val="21"/>
          <w:szCs w:val="21"/>
          <w:lang w:eastAsia="zh-CN"/>
        </w:rPr>
        <w:t>；《</w:t>
      </w:r>
      <w:r>
        <w:rPr>
          <w:rFonts w:hint="eastAsia"/>
          <w:sz w:val="21"/>
          <w:szCs w:val="21"/>
          <w:lang w:val="en-US" w:eastAsia="zh-CN"/>
        </w:rPr>
        <w:t>杭州造价信息价</w:t>
      </w:r>
      <w:r>
        <w:rPr>
          <w:rFonts w:hint="eastAsia"/>
          <w:sz w:val="21"/>
          <w:szCs w:val="21"/>
          <w:lang w:eastAsia="zh-CN"/>
        </w:rPr>
        <w:t>》</w:t>
      </w:r>
      <w:r>
        <w:rPr>
          <w:rFonts w:hint="eastAsia"/>
          <w:sz w:val="21"/>
          <w:szCs w:val="21"/>
          <w:lang w:val="en-US" w:eastAsia="zh-CN"/>
        </w:rPr>
        <w:t>中没有的，</w:t>
      </w:r>
      <w:r>
        <w:rPr>
          <w:rFonts w:hint="eastAsia"/>
          <w:sz w:val="21"/>
          <w:szCs w:val="21"/>
        </w:rPr>
        <w:t>参照《浙江省信息价</w:t>
      </w:r>
      <w:r>
        <w:rPr>
          <w:rFonts w:hint="eastAsia"/>
          <w:sz w:val="21"/>
          <w:szCs w:val="21"/>
          <w:lang w:val="en-US" w:eastAsia="zh-CN"/>
        </w:rPr>
        <w:t>（2026.7）》</w:t>
      </w:r>
      <w:r>
        <w:rPr>
          <w:rFonts w:hint="eastAsia"/>
          <w:sz w:val="21"/>
          <w:szCs w:val="21"/>
        </w:rPr>
        <w:t>计入；</w:t>
      </w:r>
      <w:r>
        <w:rPr>
          <w:rFonts w:hint="eastAsia"/>
          <w:sz w:val="21"/>
          <w:szCs w:val="21"/>
          <w:lang w:val="en-US" w:eastAsia="zh-CN"/>
        </w:rPr>
        <w:t>以上信息价中都没有的无价材料，根据市场询价确定。</w:t>
      </w:r>
    </w:p>
    <w:p w14:paraId="5C0D239F">
      <w:pPr>
        <w:keepNext w:val="0"/>
        <w:keepLines w:val="0"/>
        <w:pageBreakBefore w:val="0"/>
        <w:widowControl w:val="0"/>
        <w:numPr>
          <w:ilvl w:val="0"/>
          <w:numId w:val="3"/>
        </w:numPr>
        <w:kinsoku/>
        <w:wordWrap/>
        <w:overflowPunct/>
        <w:topLinePunct w:val="0"/>
        <w:autoSpaceDE/>
        <w:autoSpaceDN/>
        <w:bidi w:val="0"/>
        <w:adjustRightInd/>
        <w:snapToGrid w:val="0"/>
        <w:spacing w:line="360" w:lineRule="auto"/>
        <w:ind w:right="0" w:rightChars="0"/>
        <w:textAlignment w:val="auto"/>
        <w:outlineLvl w:val="9"/>
        <w:rPr>
          <w:sz w:val="21"/>
          <w:szCs w:val="21"/>
        </w:rPr>
      </w:pPr>
      <w:r>
        <w:rPr>
          <w:rFonts w:hint="eastAsia"/>
          <w:sz w:val="21"/>
          <w:szCs w:val="21"/>
          <w:lang w:val="en-US" w:eastAsia="zh-CN"/>
        </w:rPr>
        <w:t>其他相关资料；</w:t>
      </w:r>
    </w:p>
    <w:p w14:paraId="4C11EE08">
      <w:pPr>
        <w:numPr>
          <w:ilvl w:val="0"/>
          <w:numId w:val="1"/>
        </w:numPr>
        <w:spacing w:line="360" w:lineRule="auto"/>
        <w:rPr>
          <w:rFonts w:hint="eastAsia"/>
          <w:sz w:val="24"/>
        </w:rPr>
      </w:pPr>
      <w:r>
        <w:rPr>
          <w:rFonts w:hint="eastAsia"/>
          <w:b/>
          <w:color w:val="FF0000"/>
          <w:sz w:val="24"/>
        </w:rPr>
        <w:t>工程质量、工期、材料、施工等要求：</w:t>
      </w:r>
      <w:r>
        <w:rPr>
          <w:rFonts w:hint="eastAsia"/>
          <w:sz w:val="24"/>
        </w:rPr>
        <w:t>按招标文件。</w:t>
      </w:r>
    </w:p>
    <w:p w14:paraId="1BD0A55B">
      <w:pPr>
        <w:numPr>
          <w:ilvl w:val="0"/>
          <w:numId w:val="1"/>
        </w:numPr>
        <w:spacing w:line="360" w:lineRule="auto"/>
        <w:rPr>
          <w:rFonts w:hint="eastAsia"/>
          <w:sz w:val="24"/>
        </w:rPr>
      </w:pPr>
      <w:r>
        <w:rPr>
          <w:rFonts w:hint="eastAsia"/>
          <w:b/>
          <w:color w:val="FF0000"/>
          <w:sz w:val="24"/>
          <w:lang w:val="en-US" w:eastAsia="zh-CN"/>
        </w:rPr>
        <w:t>暂列金额：</w:t>
      </w:r>
      <w:r>
        <w:rPr>
          <w:rFonts w:hint="eastAsia"/>
          <w:sz w:val="24"/>
          <w:lang w:val="en-US" w:eastAsia="zh-CN"/>
        </w:rPr>
        <w:t>无</w:t>
      </w:r>
    </w:p>
    <w:p w14:paraId="673C509F">
      <w:pPr>
        <w:numPr>
          <w:ilvl w:val="0"/>
          <w:numId w:val="1"/>
        </w:numPr>
        <w:spacing w:line="360" w:lineRule="auto"/>
        <w:rPr>
          <w:rFonts w:hint="eastAsia"/>
          <w:sz w:val="24"/>
        </w:rPr>
      </w:pPr>
      <w:r>
        <w:rPr>
          <w:rFonts w:hint="eastAsia"/>
          <w:b/>
          <w:color w:val="FF0000"/>
          <w:sz w:val="24"/>
        </w:rPr>
        <w:t>取费说明：</w:t>
      </w:r>
    </w:p>
    <w:p w14:paraId="07176160">
      <w:pPr>
        <w:spacing w:line="360" w:lineRule="auto"/>
        <w:rPr>
          <w:sz w:val="24"/>
        </w:rPr>
      </w:pPr>
      <w:r>
        <w:rPr>
          <w:rFonts w:hint="eastAsia"/>
          <w:b/>
          <w:color w:val="FF0000"/>
          <w:sz w:val="24"/>
        </w:rPr>
        <w:t xml:space="preserve">      </w:t>
      </w:r>
      <w:r>
        <w:rPr>
          <w:rFonts w:hint="eastAsia"/>
          <w:b/>
          <w:sz w:val="24"/>
        </w:rPr>
        <w:t>一、工程量清单取费标准</w:t>
      </w:r>
    </w:p>
    <w:p w14:paraId="0807CB89">
      <w:pPr>
        <w:spacing w:line="360" w:lineRule="auto"/>
        <w:ind w:firstLine="630" w:firstLineChars="300"/>
        <w:rPr>
          <w:rFonts w:hint="eastAsia"/>
          <w:szCs w:val="21"/>
          <w:lang w:val="zh-CN"/>
        </w:rPr>
      </w:pPr>
      <w:r>
        <w:rPr>
          <w:rFonts w:hint="eastAsia"/>
          <w:bCs/>
          <w:szCs w:val="21"/>
          <w:lang w:val="en-US" w:eastAsia="zh-CN"/>
        </w:rPr>
        <w:t>1、装饰</w:t>
      </w:r>
      <w:r>
        <w:rPr>
          <w:rFonts w:hint="eastAsia"/>
          <w:szCs w:val="21"/>
          <w:lang w:val="zh-CN"/>
        </w:rPr>
        <w:t>工程：规费取费基数为人工费</w:t>
      </w:r>
      <w:r>
        <w:rPr>
          <w:rFonts w:hint="eastAsia"/>
          <w:szCs w:val="21"/>
        </w:rPr>
        <w:t>+</w:t>
      </w:r>
      <w:r>
        <w:rPr>
          <w:rFonts w:hint="eastAsia"/>
          <w:szCs w:val="21"/>
          <w:lang w:val="zh-CN"/>
        </w:rPr>
        <w:t>机械费，费率为</w:t>
      </w:r>
      <w:r>
        <w:rPr>
          <w:rFonts w:hint="eastAsia"/>
          <w:szCs w:val="21"/>
          <w:lang w:val="en-US" w:eastAsia="zh-CN"/>
        </w:rPr>
        <w:t>27.92</w:t>
      </w:r>
      <w:r>
        <w:rPr>
          <w:rFonts w:hint="eastAsia"/>
          <w:szCs w:val="21"/>
        </w:rPr>
        <w:t>%</w:t>
      </w:r>
      <w:r>
        <w:rPr>
          <w:rFonts w:hint="eastAsia"/>
          <w:szCs w:val="21"/>
          <w:lang w:val="zh-CN"/>
        </w:rPr>
        <w:t>；</w:t>
      </w:r>
    </w:p>
    <w:p w14:paraId="2DC05232">
      <w:pPr>
        <w:spacing w:line="360" w:lineRule="auto"/>
        <w:ind w:firstLine="630" w:firstLineChars="300"/>
        <w:rPr>
          <w:rFonts w:hint="eastAsia"/>
          <w:szCs w:val="21"/>
          <w:lang w:val="zh-CN"/>
        </w:rPr>
      </w:pPr>
      <w:r>
        <w:rPr>
          <w:rFonts w:hint="eastAsia"/>
          <w:szCs w:val="21"/>
          <w:lang w:val="en-US" w:eastAsia="zh-CN"/>
        </w:rPr>
        <w:t>2、市政安装：</w:t>
      </w:r>
      <w:r>
        <w:rPr>
          <w:rFonts w:hint="eastAsia"/>
          <w:szCs w:val="21"/>
          <w:lang w:val="zh-CN"/>
        </w:rPr>
        <w:t>规费取费基数为人工费</w:t>
      </w:r>
      <w:r>
        <w:rPr>
          <w:rFonts w:hint="eastAsia"/>
          <w:szCs w:val="21"/>
        </w:rPr>
        <w:t>+</w:t>
      </w:r>
      <w:r>
        <w:rPr>
          <w:rFonts w:hint="eastAsia"/>
          <w:szCs w:val="21"/>
          <w:lang w:val="zh-CN"/>
        </w:rPr>
        <w:t>机械费，费率为</w:t>
      </w:r>
      <w:r>
        <w:rPr>
          <w:rFonts w:hint="eastAsia"/>
          <w:szCs w:val="21"/>
          <w:lang w:val="en-US" w:eastAsia="zh-CN"/>
        </w:rPr>
        <w:t>18.75</w:t>
      </w:r>
      <w:r>
        <w:rPr>
          <w:rFonts w:hint="eastAsia"/>
          <w:szCs w:val="21"/>
        </w:rPr>
        <w:t>%</w:t>
      </w:r>
      <w:r>
        <w:rPr>
          <w:rFonts w:hint="eastAsia"/>
          <w:szCs w:val="21"/>
          <w:lang w:val="zh-CN"/>
        </w:rPr>
        <w:t>；</w:t>
      </w:r>
    </w:p>
    <w:p w14:paraId="62519FAA">
      <w:pPr>
        <w:spacing w:line="360" w:lineRule="auto"/>
        <w:ind w:firstLine="630" w:firstLineChars="300"/>
        <w:rPr>
          <w:rFonts w:hint="eastAsia" w:eastAsia="宋体"/>
          <w:szCs w:val="21"/>
          <w:lang w:val="en-US" w:eastAsia="zh-CN"/>
        </w:rPr>
      </w:pPr>
      <w:r>
        <w:rPr>
          <w:rFonts w:hint="eastAsia"/>
          <w:szCs w:val="21"/>
          <w:lang w:val="en-US" w:eastAsia="zh-CN"/>
        </w:rPr>
        <w:t>3、安装工程：</w:t>
      </w:r>
      <w:r>
        <w:rPr>
          <w:rFonts w:hint="eastAsia"/>
          <w:szCs w:val="21"/>
          <w:lang w:val="zh-CN"/>
        </w:rPr>
        <w:t>规费取费基数为人工费</w:t>
      </w:r>
      <w:r>
        <w:rPr>
          <w:rFonts w:hint="eastAsia"/>
          <w:szCs w:val="21"/>
        </w:rPr>
        <w:t>+</w:t>
      </w:r>
      <w:r>
        <w:rPr>
          <w:rFonts w:hint="eastAsia"/>
          <w:szCs w:val="21"/>
          <w:lang w:val="zh-CN"/>
        </w:rPr>
        <w:t>机械费，费率为</w:t>
      </w:r>
      <w:r>
        <w:rPr>
          <w:rFonts w:hint="eastAsia"/>
          <w:szCs w:val="21"/>
          <w:lang w:val="en-US" w:eastAsia="zh-CN"/>
        </w:rPr>
        <w:t>30.63</w:t>
      </w:r>
      <w:r>
        <w:rPr>
          <w:rFonts w:hint="eastAsia"/>
          <w:szCs w:val="21"/>
        </w:rPr>
        <w:t>%</w:t>
      </w:r>
      <w:r>
        <w:rPr>
          <w:rFonts w:hint="eastAsia"/>
          <w:szCs w:val="21"/>
          <w:lang w:val="zh-CN"/>
        </w:rPr>
        <w:t>；</w:t>
      </w:r>
    </w:p>
    <w:p w14:paraId="43CE173F">
      <w:pPr>
        <w:numPr>
          <w:ilvl w:val="0"/>
          <w:numId w:val="0"/>
        </w:numPr>
        <w:spacing w:line="360" w:lineRule="auto"/>
        <w:ind w:firstLine="630" w:firstLineChars="300"/>
        <w:rPr>
          <w:b/>
          <w:bCs/>
          <w:szCs w:val="21"/>
        </w:rPr>
      </w:pPr>
      <w:r>
        <w:rPr>
          <w:rFonts w:hint="eastAsia"/>
          <w:szCs w:val="21"/>
          <w:lang w:val="en-US" w:eastAsia="zh-CN"/>
        </w:rPr>
        <w:t>4、</w:t>
      </w:r>
      <w:r>
        <w:rPr>
          <w:rFonts w:hint="eastAsia"/>
          <w:szCs w:val="21"/>
        </w:rPr>
        <w:t>本工程税金：</w:t>
      </w:r>
      <w:r>
        <w:rPr>
          <w:rFonts w:hint="eastAsia"/>
          <w:b/>
          <w:bCs/>
          <w:szCs w:val="21"/>
        </w:rPr>
        <w:t>9%</w:t>
      </w:r>
    </w:p>
    <w:p w14:paraId="4751E6D0">
      <w:pPr>
        <w:numPr>
          <w:ilvl w:val="0"/>
          <w:numId w:val="0"/>
        </w:numPr>
        <w:spacing w:line="360" w:lineRule="auto"/>
        <w:ind w:firstLine="632" w:firstLineChars="300"/>
        <w:rPr>
          <w:bCs/>
          <w:szCs w:val="21"/>
        </w:rPr>
      </w:pPr>
      <w:r>
        <w:rPr>
          <w:rFonts w:hint="eastAsia"/>
          <w:b/>
          <w:bCs/>
          <w:color w:val="FF0000"/>
          <w:szCs w:val="21"/>
          <w:lang w:val="en-US" w:eastAsia="zh-CN"/>
        </w:rPr>
        <w:t>7、</w:t>
      </w:r>
      <w:r>
        <w:rPr>
          <w:rFonts w:hint="eastAsia"/>
          <w:b/>
          <w:bCs/>
          <w:color w:val="FF0000"/>
          <w:szCs w:val="21"/>
        </w:rPr>
        <w:t>安全文明施工基本费</w:t>
      </w:r>
      <w:r>
        <w:rPr>
          <w:rFonts w:hint="eastAsia"/>
          <w:b/>
          <w:bCs/>
          <w:color w:val="FF0000"/>
          <w:szCs w:val="21"/>
          <w:lang w:val="en-US" w:eastAsia="zh-CN"/>
        </w:rPr>
        <w:t>根据</w:t>
      </w:r>
      <w:r>
        <w:rPr>
          <w:rFonts w:hint="eastAsia"/>
          <w:b/>
          <w:bCs/>
          <w:color w:val="FF0000"/>
          <w:szCs w:val="21"/>
        </w:rPr>
        <w:t>杭建市通知[2025]98号</w:t>
      </w:r>
      <w:r>
        <w:rPr>
          <w:rFonts w:hint="eastAsia"/>
          <w:b/>
          <w:bCs/>
          <w:color w:val="FF0000"/>
          <w:szCs w:val="21"/>
          <w:lang w:val="en-US" w:eastAsia="zh-CN"/>
        </w:rPr>
        <w:t>文件计入</w:t>
      </w:r>
      <w:r>
        <w:rPr>
          <w:rFonts w:hint="eastAsia"/>
          <w:b/>
          <w:bCs/>
          <w:color w:val="FF0000"/>
          <w:szCs w:val="21"/>
        </w:rPr>
        <w:t>。</w:t>
      </w:r>
    </w:p>
    <w:p w14:paraId="6EF3AB6D">
      <w:pPr>
        <w:numPr>
          <w:ilvl w:val="0"/>
          <w:numId w:val="0"/>
        </w:numPr>
        <w:spacing w:line="360" w:lineRule="auto"/>
        <w:rPr>
          <w:rFonts w:hint="eastAsia"/>
          <w:b/>
          <w:color w:val="FF0000"/>
          <w:sz w:val="24"/>
        </w:rPr>
      </w:pPr>
      <w:r>
        <w:rPr>
          <w:rFonts w:hint="eastAsia"/>
          <w:b/>
          <w:color w:val="FF0000"/>
          <w:sz w:val="24"/>
          <w:lang w:val="en-US" w:eastAsia="zh-CN"/>
        </w:rPr>
        <w:t>七.</w:t>
      </w:r>
      <w:r>
        <w:rPr>
          <w:rFonts w:hint="eastAsia"/>
          <w:b/>
          <w:color w:val="FF0000"/>
          <w:sz w:val="24"/>
        </w:rPr>
        <w:t>其它相关说明：</w:t>
      </w:r>
    </w:p>
    <w:p w14:paraId="26697B99">
      <w:pPr>
        <w:numPr>
          <w:ilvl w:val="0"/>
          <w:numId w:val="0"/>
        </w:numPr>
        <w:spacing w:line="360" w:lineRule="auto"/>
        <w:rPr>
          <w:rFonts w:hint="eastAsia" w:eastAsia="宋体"/>
          <w:b w:val="0"/>
          <w:bCs/>
          <w:color w:val="auto"/>
          <w:sz w:val="24"/>
          <w:lang w:val="en-US" w:eastAsia="zh-CN"/>
        </w:rPr>
      </w:pPr>
      <w:r>
        <w:rPr>
          <w:rFonts w:hint="eastAsia"/>
          <w:b w:val="0"/>
          <w:bCs/>
          <w:color w:val="auto"/>
          <w:sz w:val="24"/>
          <w:lang w:eastAsia="zh-CN"/>
        </w:rPr>
        <w:t>装修部分</w:t>
      </w:r>
    </w:p>
    <w:p w14:paraId="690D4E9C">
      <w:pPr>
        <w:spacing w:line="360" w:lineRule="auto"/>
        <w:ind w:firstLine="420" w:firstLineChars="200"/>
        <w:jc w:val="left"/>
        <w:rPr>
          <w:rFonts w:hint="eastAsia" w:ascii="宋体" w:hAnsi="宋体" w:cs="Times New Roman"/>
          <w:szCs w:val="21"/>
          <w:lang w:val="en-US" w:eastAsia="zh-CN"/>
        </w:rPr>
      </w:pPr>
      <w:r>
        <w:rPr>
          <w:rFonts w:hint="eastAsia" w:ascii="宋体" w:hAnsi="宋体" w:cs="Times New Roman"/>
          <w:szCs w:val="21"/>
          <w:lang w:val="en-US" w:eastAsia="zh-CN"/>
        </w:rPr>
        <w:t>1、装修部分卫生间门口（序号10）墙面说明做法与详图节点做法不一致，清单按详图节点做法计入；</w:t>
      </w:r>
    </w:p>
    <w:p w14:paraId="01DB1C42">
      <w:pPr>
        <w:spacing w:line="360" w:lineRule="auto"/>
        <w:ind w:firstLine="420" w:firstLineChars="200"/>
        <w:jc w:val="left"/>
        <w:rPr>
          <w:rFonts w:hint="eastAsia" w:ascii="宋体" w:hAnsi="宋体" w:cs="Times New Roman"/>
          <w:szCs w:val="21"/>
          <w:lang w:val="en-US" w:eastAsia="zh-CN"/>
        </w:rPr>
      </w:pPr>
      <w:r>
        <w:rPr>
          <w:rFonts w:hint="eastAsia" w:ascii="宋体" w:hAnsi="宋体" w:cs="Times New Roman"/>
          <w:szCs w:val="21"/>
          <w:lang w:val="en-US" w:eastAsia="zh-CN"/>
        </w:rPr>
        <w:t>2、装修部分窗帘制安暂按清单描述计入工程；</w:t>
      </w:r>
    </w:p>
    <w:p w14:paraId="0B1BF87A">
      <w:pPr>
        <w:spacing w:line="360" w:lineRule="auto"/>
        <w:ind w:firstLine="420" w:firstLineChars="200"/>
        <w:jc w:val="left"/>
        <w:rPr>
          <w:rFonts w:hint="eastAsia"/>
          <w:bCs/>
          <w:szCs w:val="21"/>
          <w:lang w:val="en-US" w:eastAsia="zh-CN"/>
        </w:rPr>
      </w:pPr>
      <w:r>
        <w:rPr>
          <w:rFonts w:hint="eastAsia"/>
          <w:bCs/>
          <w:szCs w:val="21"/>
          <w:lang w:val="en-US" w:eastAsia="zh-CN"/>
        </w:rPr>
        <w:t>3、本预算安全文明施工费已包含扬尘费，施工时必须达到建设方及相关部门要求的防尘措施；</w:t>
      </w:r>
    </w:p>
    <w:p w14:paraId="33B41BC5">
      <w:pPr>
        <w:numPr>
          <w:ilvl w:val="0"/>
          <w:numId w:val="0"/>
        </w:numPr>
        <w:spacing w:line="360" w:lineRule="auto"/>
        <w:rPr>
          <w:rFonts w:hint="eastAsia" w:ascii="宋体" w:hAnsi="宋体" w:eastAsia="宋体" w:cs="Times New Roman"/>
          <w:szCs w:val="21"/>
          <w:lang w:val="en-US" w:eastAsia="zh-CN"/>
        </w:rPr>
      </w:pPr>
      <w:r>
        <w:rPr>
          <w:rFonts w:hint="eastAsia" w:ascii="Times New Roman" w:hAnsi="Times New Roman" w:eastAsia="宋体" w:cs="Times New Roman"/>
          <w:b w:val="0"/>
          <w:bCs/>
          <w:color w:val="auto"/>
          <w:sz w:val="24"/>
          <w:lang w:val="en-US" w:eastAsia="zh-CN"/>
        </w:rPr>
        <w:t>安装部分</w:t>
      </w:r>
    </w:p>
    <w:p w14:paraId="643A17BF">
      <w:pPr>
        <w:numPr>
          <w:ilvl w:val="0"/>
          <w:numId w:val="0"/>
        </w:numPr>
        <w:spacing w:line="360" w:lineRule="auto"/>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 xml:space="preserve">   1.配电总箱进线电缆配管引至社区配电房，暂估50m/路考虑计入，工程量结算时按实签证调整。</w:t>
      </w:r>
    </w:p>
    <w:p w14:paraId="70D13068">
      <w:pPr>
        <w:numPr>
          <w:ilvl w:val="0"/>
          <w:numId w:val="0"/>
        </w:numPr>
        <w:spacing w:line="360" w:lineRule="auto"/>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 xml:space="preserve">   2.应急照明电源线手动控制线图纸无具体规格，本次预算未计入。</w:t>
      </w:r>
    </w:p>
    <w:p w14:paraId="607FDA8A">
      <w:pPr>
        <w:numPr>
          <w:ilvl w:val="0"/>
          <w:numId w:val="0"/>
        </w:numPr>
        <w:spacing w:line="360" w:lineRule="auto"/>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 xml:space="preserve">   3.室外充电桩进线电缆按充电桩系统图进线电缆Z-YJV-4*35考虑计入。</w:t>
      </w:r>
    </w:p>
    <w:p w14:paraId="143612AD">
      <w:pPr>
        <w:numPr>
          <w:ilvl w:val="0"/>
          <w:numId w:val="0"/>
        </w:numPr>
        <w:spacing w:line="360" w:lineRule="auto"/>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 xml:space="preserve">   4.室外充电桩</w:t>
      </w:r>
      <w:r>
        <w:rPr>
          <w:rFonts w:hint="eastAsia" w:ascii="宋体" w:hAnsi="宋体" w:cs="Times New Roman"/>
          <w:szCs w:val="21"/>
          <w:lang w:val="en-US" w:eastAsia="zh-CN"/>
        </w:rPr>
        <w:t>配电箱进线</w:t>
      </w:r>
      <w:r>
        <w:rPr>
          <w:rFonts w:hint="eastAsia" w:ascii="宋体" w:hAnsi="宋体" w:eastAsia="宋体" w:cs="Times New Roman"/>
          <w:szCs w:val="21"/>
          <w:lang w:val="en-US" w:eastAsia="zh-CN"/>
        </w:rPr>
        <w:t>电缆暂估15m/路考虑计入，工程量结算时按实签证调整。</w:t>
      </w:r>
    </w:p>
    <w:p w14:paraId="033C338F">
      <w:pPr>
        <w:numPr>
          <w:ilvl w:val="0"/>
          <w:numId w:val="0"/>
        </w:numPr>
        <w:spacing w:line="360" w:lineRule="auto"/>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 xml:space="preserve">   5.室外景观照明配电箱进线电缆暂估50m/路考虑计入，工程量结算时按实签证调整。</w:t>
      </w:r>
      <w:bookmarkStart w:id="1" w:name="_GoBack"/>
      <w:bookmarkEnd w:id="1"/>
    </w:p>
    <w:p w14:paraId="7EF9271A">
      <w:pPr>
        <w:numPr>
          <w:ilvl w:val="0"/>
          <w:numId w:val="0"/>
        </w:numPr>
        <w:spacing w:line="360" w:lineRule="auto"/>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 xml:space="preserve">   6.室内给水管算至水表处止，室外进水给水管就近接市政给水管，预留20m考虑计入，工程量结算时按实签证调整。</w:t>
      </w:r>
    </w:p>
    <w:p w14:paraId="2AFC7A6A">
      <w:pPr>
        <w:numPr>
          <w:ilvl w:val="0"/>
          <w:numId w:val="0"/>
        </w:numPr>
        <w:spacing w:line="360" w:lineRule="auto"/>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 xml:space="preserve">   7.室内排水管算至外墙面止，接入污水井管道算至室外排水管。</w:t>
      </w:r>
    </w:p>
    <w:p w14:paraId="676FCEC1">
      <w:pPr>
        <w:numPr>
          <w:ilvl w:val="0"/>
          <w:numId w:val="0"/>
        </w:numPr>
        <w:spacing w:line="360" w:lineRule="auto"/>
        <w:rPr>
          <w:rFonts w:hint="default" w:ascii="宋体" w:hAnsi="宋体" w:eastAsia="宋体" w:cs="Times New Roman"/>
          <w:szCs w:val="21"/>
          <w:lang w:val="en-US" w:eastAsia="zh-CN"/>
        </w:rPr>
      </w:pPr>
      <w:r>
        <w:rPr>
          <w:rFonts w:hint="eastAsia" w:ascii="宋体" w:hAnsi="宋体" w:eastAsia="宋体" w:cs="Times New Roman"/>
          <w:szCs w:val="21"/>
          <w:lang w:val="en-US" w:eastAsia="zh-CN"/>
        </w:rPr>
        <w:t xml:space="preserve">   8.卫生间开水器、小厨宝不计入本次预算。</w:t>
      </w:r>
    </w:p>
    <w:p w14:paraId="20F75FFE">
      <w:pPr>
        <w:numPr>
          <w:ilvl w:val="0"/>
          <w:numId w:val="0"/>
        </w:numPr>
        <w:spacing w:line="360" w:lineRule="auto"/>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 xml:space="preserve">   9.所有灯具款式、灯头款式由施工单位在开工后（施工前）提交拟采用的厂家、品牌和提供样品，并提供合格证和检测报告等相关资料，由业主、设计、监理确认后使用。</w:t>
      </w:r>
    </w:p>
    <w:p w14:paraId="15B93FE5">
      <w:pPr>
        <w:numPr>
          <w:ilvl w:val="0"/>
          <w:numId w:val="0"/>
        </w:numPr>
        <w:spacing w:line="360" w:lineRule="auto"/>
        <w:ind w:firstLine="420" w:firstLineChars="200"/>
        <w:rPr>
          <w:rFonts w:hint="default" w:ascii="宋体" w:hAnsi="宋体" w:eastAsia="宋体" w:cs="Times New Roman"/>
          <w:szCs w:val="21"/>
          <w:lang w:val="en-US" w:eastAsia="zh-CN"/>
        </w:rPr>
      </w:pPr>
      <w:r>
        <w:rPr>
          <w:rFonts w:hint="eastAsia" w:ascii="宋体" w:hAnsi="宋体" w:eastAsia="宋体" w:cs="Times New Roman"/>
          <w:szCs w:val="21"/>
          <w:lang w:val="en-US" w:eastAsia="zh-CN"/>
        </w:rPr>
        <w:t>10.本项目抗震支架按“套”计算，工程量为暂定，结算时工程量按实调整，单价由投标单位根据现行设计及验收规范自行报价。抗震支架由中标单位委托具有相关资质的单位深化设计出图并供货及安装，相关费用包含在相应单价中。抗震支架深化设计施工图，必须经过建设单位、设计单位、监理单位同意方可实施。抗震支架施工前必须提供二次深化设计的施工图纸并报建设单位、设计单位、图审单位、监理单位、质监单位敲章认可。</w:t>
      </w:r>
    </w:p>
    <w:p w14:paraId="18CF37BC">
      <w:pPr>
        <w:numPr>
          <w:ilvl w:val="0"/>
          <w:numId w:val="0"/>
        </w:numPr>
        <w:spacing w:line="360" w:lineRule="auto"/>
        <w:ind w:firstLine="420" w:firstLineChars="200"/>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11.各类管道，桥架等开孔及封堵费用，均考虑在各项清单综合单价内，不另外单独计取清单，投标单位自行考虑该费用</w:t>
      </w:r>
    </w:p>
    <w:p w14:paraId="1A63B3D8">
      <w:pPr>
        <w:numPr>
          <w:ilvl w:val="0"/>
          <w:numId w:val="0"/>
        </w:numPr>
        <w:spacing w:line="360" w:lineRule="auto"/>
        <w:rPr>
          <w:rFonts w:hint="eastAsia" w:eastAsia="宋体"/>
          <w:b/>
          <w:color w:val="FF0000"/>
          <w:sz w:val="24"/>
          <w:lang w:val="en-US" w:eastAsia="zh-CN"/>
        </w:rPr>
      </w:pPr>
      <w:r>
        <w:rPr>
          <w:rFonts w:hint="eastAsia" w:eastAsia="宋体"/>
          <w:b/>
          <w:color w:val="FF0000"/>
          <w:sz w:val="24"/>
          <w:lang w:val="en-US" w:eastAsia="zh-CN"/>
        </w:rPr>
        <w:t>八.其它相关说明：</w:t>
      </w:r>
    </w:p>
    <w:p w14:paraId="7D3036AA">
      <w:pPr>
        <w:pStyle w:val="5"/>
        <w:rPr>
          <w:rFonts w:hint="default"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1、石膏板、轻钢龙骨----------------------杰森 JJASON、</w:t>
      </w:r>
      <w:bookmarkStart w:id="0" w:name="OLE_LINK4"/>
      <w:r>
        <w:rPr>
          <w:rFonts w:hint="eastAsia" w:ascii="宋体" w:hAnsi="宋体" w:eastAsia="宋体" w:cs="Times New Roman"/>
          <w:kern w:val="2"/>
          <w:sz w:val="21"/>
          <w:szCs w:val="21"/>
          <w:lang w:val="en-US" w:eastAsia="zh-CN" w:bidi="ar-SA"/>
        </w:rPr>
        <w:t>龙牌</w:t>
      </w:r>
      <w:bookmarkEnd w:id="0"/>
      <w:r>
        <w:rPr>
          <w:rFonts w:hint="eastAsia" w:ascii="宋体" w:hAnsi="宋体" w:eastAsia="宋体" w:cs="Times New Roman"/>
          <w:kern w:val="2"/>
          <w:sz w:val="21"/>
          <w:szCs w:val="21"/>
          <w:lang w:val="en-US" w:eastAsia="zh-CN" w:bidi="ar-SA"/>
        </w:rPr>
        <w:t>、泰山或同档次</w:t>
      </w:r>
    </w:p>
    <w:p w14:paraId="3B66DE20">
      <w:pPr>
        <w:pStyle w:val="5"/>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2、木工板等基层板--------------------------千年舟、莫千山、兔宝宝或同档次</w:t>
      </w:r>
    </w:p>
    <w:p w14:paraId="26297666">
      <w:pPr>
        <w:pStyle w:val="5"/>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3、无机涂料----------------------------------立邦、多乐士、三棵树或同档次</w:t>
      </w:r>
    </w:p>
    <w:p w14:paraId="1B0E1364">
      <w:pPr>
        <w:pStyle w:val="5"/>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4、防水材料----------------------------------科顺、卓宝、东方雨虹或同档次</w:t>
      </w:r>
    </w:p>
    <w:p w14:paraId="7B09304C">
      <w:pPr>
        <w:pStyle w:val="5"/>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5、水泥------------------------------------------南方、三狮、海螺或同档次</w:t>
      </w:r>
    </w:p>
    <w:p w14:paraId="750BDB42">
      <w:pPr>
        <w:pStyle w:val="5"/>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6、瓷砖、地砖----------------------------金意陶、大将军、亚细亚、宏宇或同档次</w:t>
      </w:r>
    </w:p>
    <w:p w14:paraId="3DFA0F2C">
      <w:pPr>
        <w:pStyle w:val="5"/>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7、灯具-----------------------------------------长方、欧普、雷士或同档次</w:t>
      </w:r>
    </w:p>
    <w:p w14:paraId="17951431">
      <w:pPr>
        <w:pStyle w:val="5"/>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8、</w:t>
      </w:r>
      <w:r>
        <w:rPr>
          <w:rFonts w:hint="eastAsia" w:ascii="宋体" w:hAnsi="宋体" w:eastAsia="宋体" w:cs="Times New Roman"/>
          <w:kern w:val="2"/>
          <w:sz w:val="21"/>
          <w:szCs w:val="21"/>
          <w:lang w:val="zh-CN" w:eastAsia="zh-CN" w:bidi="ar-SA"/>
        </w:rPr>
        <w:t>电线、电缆</w:t>
      </w:r>
      <w:r>
        <w:rPr>
          <w:rFonts w:hint="eastAsia" w:ascii="宋体" w:hAnsi="宋体" w:eastAsia="宋体" w:cs="Times New Roman"/>
          <w:kern w:val="2"/>
          <w:sz w:val="21"/>
          <w:szCs w:val="21"/>
          <w:lang w:val="en-US" w:eastAsia="zh-CN" w:bidi="ar-SA"/>
        </w:rPr>
        <w:t>---------------------------万马、永通中策、浙江元通或同档次</w:t>
      </w:r>
    </w:p>
    <w:p w14:paraId="1C551732">
      <w:pPr>
        <w:pStyle w:val="5"/>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9、水管-----------------------------------------伟星、中财、公元或同档次</w:t>
      </w:r>
    </w:p>
    <w:p w14:paraId="11BACA82">
      <w:pPr>
        <w:pStyle w:val="5"/>
        <w:rPr>
          <w:rFonts w:hint="default"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10、洁具----------------------------------------恒洁、箭牌、九牧或同档次</w:t>
      </w:r>
    </w:p>
    <w:p w14:paraId="77472AF0">
      <w:pPr>
        <w:pStyle w:val="5"/>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11、配电箱元器件-------------------</w:t>
      </w:r>
      <w:r>
        <w:rPr>
          <w:rFonts w:hint="eastAsia" w:ascii="宋体" w:hAnsi="宋体" w:cs="Times New Roman"/>
          <w:kern w:val="2"/>
          <w:sz w:val="21"/>
          <w:szCs w:val="21"/>
          <w:lang w:val="en-US" w:eastAsia="zh-CN" w:bidi="ar-SA"/>
        </w:rPr>
        <w:t>-----</w:t>
      </w:r>
      <w:r>
        <w:rPr>
          <w:rFonts w:hint="eastAsia" w:ascii="宋体" w:hAnsi="宋体" w:eastAsia="宋体" w:cs="Times New Roman"/>
          <w:kern w:val="2"/>
          <w:sz w:val="21"/>
          <w:szCs w:val="21"/>
          <w:lang w:val="en-US" w:eastAsia="zh-CN" w:bidi="ar-SA"/>
        </w:rPr>
        <w:t>--施耐德、</w:t>
      </w:r>
      <w:r>
        <w:rPr>
          <w:rFonts w:hint="eastAsia" w:ascii="宋体" w:hAnsi="宋体" w:cs="Times New Roman"/>
          <w:kern w:val="2"/>
          <w:sz w:val="21"/>
          <w:szCs w:val="21"/>
          <w:lang w:val="en-US" w:eastAsia="zh-CN" w:bidi="ar-SA"/>
        </w:rPr>
        <w:t>正泰</w:t>
      </w:r>
      <w:r>
        <w:rPr>
          <w:rFonts w:hint="eastAsia" w:ascii="宋体" w:hAnsi="宋体" w:eastAsia="宋体" w:cs="Times New Roman"/>
          <w:kern w:val="2"/>
          <w:sz w:val="21"/>
          <w:szCs w:val="21"/>
          <w:lang w:val="en-US" w:eastAsia="zh-CN" w:bidi="ar-SA"/>
        </w:rPr>
        <w:t>、人民电器或同档次</w:t>
      </w:r>
    </w:p>
    <w:p w14:paraId="10DE629D">
      <w:pPr>
        <w:pStyle w:val="5"/>
        <w:rPr>
          <w:rFonts w:hint="default"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12、应急--------------------------------------久远、台宜、乐思达或同档次</w:t>
      </w:r>
    </w:p>
    <w:p w14:paraId="314A6889">
      <w:pPr>
        <w:keepNext w:val="0"/>
        <w:keepLines w:val="0"/>
        <w:pageBreakBefore w:val="0"/>
        <w:kinsoku/>
        <w:wordWrap/>
        <w:overflowPunct/>
        <w:topLinePunct w:val="0"/>
        <w:autoSpaceDE w:val="0"/>
        <w:autoSpaceDN w:val="0"/>
        <w:bidi w:val="0"/>
        <w:adjustRightInd w:val="0"/>
        <w:spacing w:line="360" w:lineRule="auto"/>
        <w:ind w:firstLine="420" w:firstLineChars="200"/>
        <w:rPr>
          <w:rFonts w:hint="eastAsia" w:ascii="宋体" w:hAnsi="宋体" w:eastAsia="宋体" w:cs="Times New Roman"/>
          <w:kern w:val="2"/>
          <w:sz w:val="21"/>
          <w:szCs w:val="21"/>
          <w:lang w:val="zh-CN" w:eastAsia="zh-CN" w:bidi="ar-SA"/>
        </w:rPr>
      </w:pPr>
      <w:r>
        <w:rPr>
          <w:rFonts w:hint="eastAsia" w:ascii="宋体" w:hAnsi="宋体" w:eastAsia="宋体" w:cs="Times New Roman"/>
          <w:kern w:val="2"/>
          <w:sz w:val="21"/>
          <w:szCs w:val="21"/>
          <w:lang w:val="zh-CN" w:eastAsia="zh-CN" w:bidi="ar-SA"/>
        </w:rPr>
        <w:t>注：以上品牌仅供投标时参考，投标人在投标文件中若提供了招标人推荐品牌以外的产品，应同时提供相当于招标人推荐品牌产品同档次的证明材料；投标人若未注明品牌、不选择招标人的推荐品牌且未提供同档次的证明材料的，中标后由招标人在所列品牌中任选其一，中标人须无条件接受。</w:t>
      </w:r>
      <w:r>
        <w:rPr>
          <w:rFonts w:hint="eastAsia" w:ascii="宋体" w:hAnsi="宋体" w:eastAsia="宋体" w:cs="Times New Roman"/>
          <w:kern w:val="2"/>
          <w:sz w:val="21"/>
          <w:szCs w:val="21"/>
          <w:lang w:val="en-US" w:eastAsia="zh-CN" w:bidi="ar-SA"/>
        </w:rPr>
        <w:t>实际施工过程中需经建设单位同意后方可使用，价格由投标单位自行报价，一次性包干，中标后不作调整</w:t>
      </w:r>
      <w:r>
        <w:rPr>
          <w:rFonts w:hint="eastAsia" w:ascii="宋体" w:hAnsi="宋体" w:eastAsia="宋体" w:cs="Times New Roman"/>
          <w:kern w:val="2"/>
          <w:sz w:val="21"/>
          <w:szCs w:val="21"/>
          <w:lang w:val="zh-CN" w:eastAsia="zh-CN" w:bidi="ar-SA"/>
        </w:rPr>
        <w:t>，</w:t>
      </w:r>
      <w:r>
        <w:rPr>
          <w:rFonts w:hint="eastAsia" w:ascii="宋体" w:hAnsi="宋体" w:eastAsia="宋体" w:cs="Times New Roman"/>
          <w:kern w:val="2"/>
          <w:sz w:val="21"/>
          <w:szCs w:val="21"/>
          <w:lang w:val="en-US" w:eastAsia="zh-CN" w:bidi="ar-SA"/>
        </w:rPr>
        <w:t>但所采购材料必须符合施工图设计、国标、现行施工验收规范要求，并经招标人、监理单位认可，才能使用到本工程。请各投标单位报价时，自行考虑市场上下浮动风险因素。所有材料的颜色和式样等在施工前，根据设计和业主要求确定，但单价不作调整</w:t>
      </w:r>
      <w:r>
        <w:rPr>
          <w:rFonts w:hint="eastAsia" w:ascii="宋体" w:hAnsi="宋体" w:eastAsia="宋体" w:cs="Times New Roman"/>
          <w:kern w:val="2"/>
          <w:sz w:val="21"/>
          <w:szCs w:val="21"/>
          <w:lang w:val="zh-CN" w:eastAsia="zh-CN" w:bidi="ar-SA"/>
        </w:rPr>
        <w:t>（注：清单中未提供品牌的材料均为国产优质品牌）</w:t>
      </w:r>
    </w:p>
    <w:p w14:paraId="640B04F1">
      <w:pPr>
        <w:pStyle w:val="5"/>
        <w:rPr>
          <w:rFonts w:hint="default"/>
          <w:lang w:val="en-US" w:eastAsia="zh-CN"/>
        </w:rPr>
      </w:pPr>
    </w:p>
    <w:p w14:paraId="585B1999">
      <w:pPr>
        <w:numPr>
          <w:ilvl w:val="0"/>
          <w:numId w:val="0"/>
        </w:numPr>
        <w:spacing w:line="360" w:lineRule="auto"/>
        <w:rPr>
          <w:rFonts w:hint="eastAsia" w:ascii="宋体" w:hAnsi="宋体" w:eastAsia="宋体" w:cs="Times New Roman"/>
          <w:szCs w:val="21"/>
          <w:lang w:val="en-US" w:eastAsia="zh-CN"/>
        </w:rPr>
      </w:pPr>
    </w:p>
    <w:p w14:paraId="626C31CA">
      <w:pPr>
        <w:numPr>
          <w:ilvl w:val="0"/>
          <w:numId w:val="0"/>
        </w:numPr>
        <w:spacing w:line="360" w:lineRule="auto"/>
        <w:rPr>
          <w:rFonts w:hint="default" w:ascii="宋体" w:hAnsi="宋体" w:eastAsia="宋体" w:cs="Times New Roman"/>
          <w:szCs w:val="21"/>
          <w:lang w:val="en-US" w:eastAsia="zh-CN"/>
        </w:rPr>
      </w:pPr>
    </w:p>
    <w:sectPr>
      <w:footerReference r:id="rId3" w:type="default"/>
      <w:footerReference r:id="rId4" w:type="even"/>
      <w:pgSz w:w="11907" w:h="16840"/>
      <w:pgMar w:top="1713" w:right="1107" w:bottom="1402"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moder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
    <w:panose1 w:val="02010609030101010101"/>
    <w:charset w:val="86"/>
    <w:family w:val="modern"/>
    <w:pitch w:val="default"/>
    <w:sig w:usb0="000002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3BACBD">
    <w:pPr>
      <w:pStyle w:val="5"/>
      <w:jc w:val="center"/>
      <w:rPr>
        <w:rFonts w:hint="eastAsia"/>
      </w:rPr>
    </w:pPr>
    <w:r>
      <w:rPr>
        <w:rFonts w:hint="eastAsia"/>
        <w:kern w:val="0"/>
        <w:szCs w:val="21"/>
      </w:rPr>
      <w:t xml:space="preserve">第 </w:t>
    </w:r>
    <w:r>
      <w:rPr>
        <w:kern w:val="0"/>
        <w:szCs w:val="21"/>
      </w:rPr>
      <w:fldChar w:fldCharType="begin"/>
    </w:r>
    <w:r>
      <w:rPr>
        <w:kern w:val="0"/>
        <w:szCs w:val="21"/>
      </w:rPr>
      <w:instrText xml:space="preserve"> PAGE </w:instrText>
    </w:r>
    <w:r>
      <w:rPr>
        <w:kern w:val="0"/>
        <w:szCs w:val="21"/>
      </w:rPr>
      <w:fldChar w:fldCharType="separate"/>
    </w:r>
    <w:r>
      <w:rPr>
        <w:kern w:val="0"/>
        <w:szCs w:val="21"/>
      </w:rPr>
      <w:t>4</w:t>
    </w:r>
    <w:r>
      <w:rPr>
        <w:kern w:val="0"/>
        <w:szCs w:val="21"/>
      </w:rPr>
      <w:fldChar w:fldCharType="end"/>
    </w:r>
    <w:r>
      <w:rPr>
        <w:rFonts w:hint="eastAsia"/>
        <w:kern w:val="0"/>
        <w:szCs w:val="21"/>
      </w:rPr>
      <w:t xml:space="preserve"> 页 共 </w:t>
    </w:r>
    <w:r>
      <w:rPr>
        <w:kern w:val="0"/>
        <w:szCs w:val="21"/>
      </w:rPr>
      <w:fldChar w:fldCharType="begin"/>
    </w:r>
    <w:r>
      <w:rPr>
        <w:kern w:val="0"/>
        <w:szCs w:val="21"/>
      </w:rPr>
      <w:instrText xml:space="preserve"> NUMPAGES </w:instrText>
    </w:r>
    <w:r>
      <w:rPr>
        <w:kern w:val="0"/>
        <w:szCs w:val="21"/>
      </w:rPr>
      <w:fldChar w:fldCharType="separate"/>
    </w:r>
    <w:r>
      <w:rPr>
        <w:kern w:val="0"/>
        <w:szCs w:val="21"/>
      </w:rPr>
      <w:t>4</w:t>
    </w:r>
    <w:r>
      <w:rPr>
        <w:kern w:val="0"/>
        <w:szCs w:val="21"/>
      </w:rPr>
      <w:fldChar w:fldCharType="end"/>
    </w:r>
    <w:r>
      <w:rPr>
        <w:rFonts w:hint="eastAsia"/>
        <w:kern w:val="0"/>
        <w:szCs w:val="21"/>
      </w:rPr>
      <w:t xml:space="preserve"> 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C786C3">
    <w:pPr>
      <w:pStyle w:val="5"/>
      <w:framePr w:wrap="around" w:vAnchor="text" w:hAnchor="margin" w:xAlign="center" w:y="1"/>
      <w:rPr>
        <w:rStyle w:val="12"/>
      </w:rPr>
    </w:pPr>
    <w:r>
      <w:fldChar w:fldCharType="begin"/>
    </w:r>
    <w:r>
      <w:rPr>
        <w:rStyle w:val="12"/>
      </w:rPr>
      <w:instrText xml:space="preserve">PAGE  </w:instrText>
    </w:r>
    <w:r>
      <w:fldChar w:fldCharType="end"/>
    </w:r>
  </w:p>
  <w:p w14:paraId="2D087A7C">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5E60F47"/>
    <w:multiLevelType w:val="multilevel"/>
    <w:tmpl w:val="25E60F47"/>
    <w:lvl w:ilvl="0" w:tentative="0">
      <w:start w:val="1"/>
      <w:numFmt w:val="decimal"/>
      <w:lvlText w:val="%1."/>
      <w:lvlJc w:val="left"/>
      <w:pPr>
        <w:tabs>
          <w:tab w:val="left" w:pos="1140"/>
        </w:tabs>
        <w:ind w:left="1140" w:hanging="420"/>
      </w:pPr>
      <w:rPr>
        <w:rFonts w:hint="eastAsia" w:eastAsia="新宋体"/>
        <w:b w:val="0"/>
        <w:i w:val="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3065614E"/>
    <w:multiLevelType w:val="multilevel"/>
    <w:tmpl w:val="3065614E"/>
    <w:lvl w:ilvl="0" w:tentative="0">
      <w:start w:val="1"/>
      <w:numFmt w:val="decimal"/>
      <w:lvlText w:val="%1."/>
      <w:lvlJc w:val="left"/>
      <w:pPr>
        <w:tabs>
          <w:tab w:val="left" w:pos="1140"/>
        </w:tabs>
        <w:ind w:left="1140" w:hanging="420"/>
      </w:pPr>
      <w:rPr>
        <w:rFonts w:hint="eastAsia" w:eastAsia="新宋体"/>
        <w:b w:val="0"/>
        <w:i w:val="0"/>
      </w:rPr>
    </w:lvl>
    <w:lvl w:ilvl="1" w:tentative="0">
      <w:start w:val="1"/>
      <w:numFmt w:val="lowerLetter"/>
      <w:lvlText w:val="%2)"/>
      <w:lvlJc w:val="left"/>
      <w:pPr>
        <w:tabs>
          <w:tab w:val="left" w:pos="1560"/>
        </w:tabs>
        <w:ind w:left="1560" w:hanging="420"/>
      </w:pPr>
    </w:lvl>
    <w:lvl w:ilvl="2" w:tentative="0">
      <w:start w:val="1"/>
      <w:numFmt w:val="lowerRoman"/>
      <w:lvlText w:val="%3."/>
      <w:lvlJc w:val="right"/>
      <w:pPr>
        <w:tabs>
          <w:tab w:val="left" w:pos="1980"/>
        </w:tabs>
        <w:ind w:left="1980" w:hanging="420"/>
      </w:pPr>
    </w:lvl>
    <w:lvl w:ilvl="3" w:tentative="0">
      <w:start w:val="1"/>
      <w:numFmt w:val="decimal"/>
      <w:lvlText w:val="%4."/>
      <w:lvlJc w:val="left"/>
      <w:pPr>
        <w:tabs>
          <w:tab w:val="left" w:pos="2400"/>
        </w:tabs>
        <w:ind w:left="2400" w:hanging="420"/>
      </w:pPr>
    </w:lvl>
    <w:lvl w:ilvl="4" w:tentative="0">
      <w:start w:val="1"/>
      <w:numFmt w:val="lowerLetter"/>
      <w:lvlText w:val="%5)"/>
      <w:lvlJc w:val="left"/>
      <w:pPr>
        <w:tabs>
          <w:tab w:val="left" w:pos="2820"/>
        </w:tabs>
        <w:ind w:left="2820" w:hanging="420"/>
      </w:pPr>
    </w:lvl>
    <w:lvl w:ilvl="5" w:tentative="0">
      <w:start w:val="1"/>
      <w:numFmt w:val="lowerRoman"/>
      <w:lvlText w:val="%6."/>
      <w:lvlJc w:val="right"/>
      <w:pPr>
        <w:tabs>
          <w:tab w:val="left" w:pos="3240"/>
        </w:tabs>
        <w:ind w:left="3240" w:hanging="420"/>
      </w:pPr>
    </w:lvl>
    <w:lvl w:ilvl="6" w:tentative="0">
      <w:start w:val="1"/>
      <w:numFmt w:val="decimal"/>
      <w:lvlText w:val="%7."/>
      <w:lvlJc w:val="left"/>
      <w:pPr>
        <w:tabs>
          <w:tab w:val="left" w:pos="3660"/>
        </w:tabs>
        <w:ind w:left="3660" w:hanging="420"/>
      </w:pPr>
    </w:lvl>
    <w:lvl w:ilvl="7" w:tentative="0">
      <w:start w:val="1"/>
      <w:numFmt w:val="lowerLetter"/>
      <w:lvlText w:val="%8)"/>
      <w:lvlJc w:val="left"/>
      <w:pPr>
        <w:tabs>
          <w:tab w:val="left" w:pos="4080"/>
        </w:tabs>
        <w:ind w:left="4080" w:hanging="420"/>
      </w:pPr>
    </w:lvl>
    <w:lvl w:ilvl="8" w:tentative="0">
      <w:start w:val="1"/>
      <w:numFmt w:val="lowerRoman"/>
      <w:lvlText w:val="%9."/>
      <w:lvlJc w:val="right"/>
      <w:pPr>
        <w:tabs>
          <w:tab w:val="left" w:pos="4500"/>
        </w:tabs>
        <w:ind w:left="4500" w:hanging="420"/>
      </w:pPr>
    </w:lvl>
  </w:abstractNum>
  <w:abstractNum w:abstractNumId="2">
    <w:nsid w:val="5E1339E5"/>
    <w:multiLevelType w:val="multilevel"/>
    <w:tmpl w:val="5E1339E5"/>
    <w:lvl w:ilvl="0" w:tentative="0">
      <w:start w:val="1"/>
      <w:numFmt w:val="chineseCountingThousand"/>
      <w:lvlText w:val="%1."/>
      <w:lvlJc w:val="left"/>
      <w:pPr>
        <w:tabs>
          <w:tab w:val="left" w:pos="420"/>
        </w:tabs>
        <w:ind w:left="420" w:hanging="420"/>
      </w:pPr>
      <w:rPr>
        <w:rFonts w:hint="eastAsia" w:eastAsia="宋体"/>
        <w:b/>
        <w:color w:val="FF0000"/>
        <w:lang w:val="en-US"/>
      </w:rPr>
    </w:lvl>
    <w:lvl w:ilvl="1" w:tentative="0">
      <w:start w:val="1"/>
      <w:numFmt w:val="decimal"/>
      <w:lvlText w:val="%2、"/>
      <w:lvlJc w:val="left"/>
      <w:pPr>
        <w:tabs>
          <w:tab w:val="left" w:pos="1140"/>
        </w:tabs>
        <w:ind w:left="1140" w:hanging="720"/>
      </w:pPr>
      <w:rPr>
        <w:rFonts w:hint="eastAsia"/>
      </w:rPr>
    </w:lvl>
    <w:lvl w:ilvl="2" w:tentative="0">
      <w:start w:val="1"/>
      <w:numFmt w:val="lowerLetter"/>
      <w:lvlText w:val="%3、"/>
      <w:lvlJc w:val="left"/>
      <w:pPr>
        <w:tabs>
          <w:tab w:val="left" w:pos="1560"/>
        </w:tabs>
        <w:ind w:left="1560" w:hanging="720"/>
      </w:pPr>
      <w:rPr>
        <w:rFonts w:hint="default"/>
      </w:rPr>
    </w:lvl>
    <w:lvl w:ilvl="3" w:tentative="0">
      <w:start w:val="1"/>
      <w:numFmt w:val="decimal"/>
      <w:lvlText w:val="（%4）"/>
      <w:lvlJc w:val="left"/>
      <w:pPr>
        <w:tabs>
          <w:tab w:val="left" w:pos="1980"/>
        </w:tabs>
        <w:ind w:left="1980" w:hanging="720"/>
      </w:pPr>
      <w:rPr>
        <w:rFonts w:hint="eastAsia"/>
      </w:rPr>
    </w:lvl>
    <w:lvl w:ilvl="4" w:tentative="0">
      <w:start w:val="1"/>
      <w:numFmt w:val="japaneseCounting"/>
      <w:lvlText w:val="（%5）"/>
      <w:lvlJc w:val="left"/>
      <w:pPr>
        <w:tabs>
          <w:tab w:val="left" w:pos="2535"/>
        </w:tabs>
        <w:ind w:left="2535" w:hanging="855"/>
      </w:pPr>
      <w:rPr>
        <w:rFonts w:hint="eastAsia"/>
      </w:rPr>
    </w:lvl>
    <w:lvl w:ilvl="5" w:tentative="0">
      <w:start w:val="1"/>
      <w:numFmt w:val="decimal"/>
      <w:lvlText w:val="%6．"/>
      <w:lvlJc w:val="left"/>
      <w:pPr>
        <w:tabs>
          <w:tab w:val="left" w:pos="2820"/>
        </w:tabs>
        <w:ind w:left="2820" w:hanging="720"/>
      </w:pPr>
      <w:rPr>
        <w:rFonts w:hint="eastAsia"/>
      </w:rPr>
    </w:lvl>
    <w:lvl w:ilvl="6" w:tentative="0">
      <w:start w:val="1"/>
      <w:numFmt w:val="decimal"/>
      <w:lvlText w:val="%7"/>
      <w:lvlJc w:val="left"/>
      <w:pPr>
        <w:tabs>
          <w:tab w:val="left" w:pos="2895"/>
        </w:tabs>
        <w:ind w:left="2895" w:hanging="375"/>
      </w:pPr>
      <w:rPr>
        <w:rFonts w:hint="default"/>
        <w:b/>
      </w:r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kxNmJmYjNhZjJiNjRlMjJhNmYyNGU3MzNlNzM0YzUifQ=="/>
  </w:docVars>
  <w:rsids>
    <w:rsidRoot w:val="00E85A99"/>
    <w:rsid w:val="000076D0"/>
    <w:rsid w:val="000134DA"/>
    <w:rsid w:val="00023309"/>
    <w:rsid w:val="0004283C"/>
    <w:rsid w:val="00056F9C"/>
    <w:rsid w:val="00095819"/>
    <w:rsid w:val="000A1D2A"/>
    <w:rsid w:val="000A74D7"/>
    <w:rsid w:val="000A7E43"/>
    <w:rsid w:val="000C04A2"/>
    <w:rsid w:val="000D16B3"/>
    <w:rsid w:val="000D40B5"/>
    <w:rsid w:val="000E1B8A"/>
    <w:rsid w:val="00105B10"/>
    <w:rsid w:val="00107A1D"/>
    <w:rsid w:val="0013295C"/>
    <w:rsid w:val="0016208F"/>
    <w:rsid w:val="001636FA"/>
    <w:rsid w:val="00165917"/>
    <w:rsid w:val="00172803"/>
    <w:rsid w:val="00175856"/>
    <w:rsid w:val="001763E9"/>
    <w:rsid w:val="00194A80"/>
    <w:rsid w:val="00196B90"/>
    <w:rsid w:val="001C2FD9"/>
    <w:rsid w:val="001C713A"/>
    <w:rsid w:val="001D668C"/>
    <w:rsid w:val="001E10E6"/>
    <w:rsid w:val="001F67CF"/>
    <w:rsid w:val="001F753F"/>
    <w:rsid w:val="002156DE"/>
    <w:rsid w:val="00217015"/>
    <w:rsid w:val="00224911"/>
    <w:rsid w:val="00224D5D"/>
    <w:rsid w:val="00224DD7"/>
    <w:rsid w:val="00225A20"/>
    <w:rsid w:val="002356E4"/>
    <w:rsid w:val="002541FB"/>
    <w:rsid w:val="00262B75"/>
    <w:rsid w:val="0027675F"/>
    <w:rsid w:val="00277D57"/>
    <w:rsid w:val="002922D3"/>
    <w:rsid w:val="00295389"/>
    <w:rsid w:val="0029765B"/>
    <w:rsid w:val="002A110A"/>
    <w:rsid w:val="002A7B38"/>
    <w:rsid w:val="002B15C0"/>
    <w:rsid w:val="002C7C12"/>
    <w:rsid w:val="002D5A38"/>
    <w:rsid w:val="002D76FA"/>
    <w:rsid w:val="002E5172"/>
    <w:rsid w:val="002E5C9D"/>
    <w:rsid w:val="002F4A3C"/>
    <w:rsid w:val="002F61C2"/>
    <w:rsid w:val="00303850"/>
    <w:rsid w:val="0030681C"/>
    <w:rsid w:val="003079A0"/>
    <w:rsid w:val="00310E8D"/>
    <w:rsid w:val="00322D60"/>
    <w:rsid w:val="0032746B"/>
    <w:rsid w:val="00343FBB"/>
    <w:rsid w:val="003461CC"/>
    <w:rsid w:val="003A62AD"/>
    <w:rsid w:val="003B2676"/>
    <w:rsid w:val="003B46E5"/>
    <w:rsid w:val="003C0827"/>
    <w:rsid w:val="003C53D3"/>
    <w:rsid w:val="003C7602"/>
    <w:rsid w:val="003C7698"/>
    <w:rsid w:val="003E0993"/>
    <w:rsid w:val="003E55E2"/>
    <w:rsid w:val="003F1A01"/>
    <w:rsid w:val="003F456D"/>
    <w:rsid w:val="003F7C24"/>
    <w:rsid w:val="00402C17"/>
    <w:rsid w:val="004046D9"/>
    <w:rsid w:val="004053DC"/>
    <w:rsid w:val="0043389B"/>
    <w:rsid w:val="004361B0"/>
    <w:rsid w:val="00450D2E"/>
    <w:rsid w:val="00462762"/>
    <w:rsid w:val="00481E67"/>
    <w:rsid w:val="004916C1"/>
    <w:rsid w:val="00491929"/>
    <w:rsid w:val="00496A29"/>
    <w:rsid w:val="004B78EF"/>
    <w:rsid w:val="004C441B"/>
    <w:rsid w:val="004E5C29"/>
    <w:rsid w:val="004E5E41"/>
    <w:rsid w:val="004F3A4F"/>
    <w:rsid w:val="004F7BF4"/>
    <w:rsid w:val="00520E55"/>
    <w:rsid w:val="005301A2"/>
    <w:rsid w:val="00542471"/>
    <w:rsid w:val="00543DA0"/>
    <w:rsid w:val="00556F25"/>
    <w:rsid w:val="005706E5"/>
    <w:rsid w:val="005A2471"/>
    <w:rsid w:val="005B1509"/>
    <w:rsid w:val="005B2A79"/>
    <w:rsid w:val="005B763D"/>
    <w:rsid w:val="005C023B"/>
    <w:rsid w:val="005C1933"/>
    <w:rsid w:val="005C21D1"/>
    <w:rsid w:val="005D6C44"/>
    <w:rsid w:val="005E2E4B"/>
    <w:rsid w:val="005E70EB"/>
    <w:rsid w:val="005F74ED"/>
    <w:rsid w:val="00605CE7"/>
    <w:rsid w:val="0061647A"/>
    <w:rsid w:val="0062148D"/>
    <w:rsid w:val="00625525"/>
    <w:rsid w:val="00684314"/>
    <w:rsid w:val="00691FD7"/>
    <w:rsid w:val="006B73E4"/>
    <w:rsid w:val="006D603F"/>
    <w:rsid w:val="006E6140"/>
    <w:rsid w:val="006E63EF"/>
    <w:rsid w:val="0070377A"/>
    <w:rsid w:val="00704E29"/>
    <w:rsid w:val="00712F38"/>
    <w:rsid w:val="00713722"/>
    <w:rsid w:val="00743985"/>
    <w:rsid w:val="00750155"/>
    <w:rsid w:val="007525BD"/>
    <w:rsid w:val="0075442B"/>
    <w:rsid w:val="0078028B"/>
    <w:rsid w:val="00783EED"/>
    <w:rsid w:val="00784D62"/>
    <w:rsid w:val="007C0F41"/>
    <w:rsid w:val="007C4B3B"/>
    <w:rsid w:val="007D1EB7"/>
    <w:rsid w:val="007D4169"/>
    <w:rsid w:val="007F73E4"/>
    <w:rsid w:val="00816A12"/>
    <w:rsid w:val="008243E0"/>
    <w:rsid w:val="00834A5A"/>
    <w:rsid w:val="0085016B"/>
    <w:rsid w:val="00855592"/>
    <w:rsid w:val="00857ED6"/>
    <w:rsid w:val="008813D4"/>
    <w:rsid w:val="008960AF"/>
    <w:rsid w:val="008A46DB"/>
    <w:rsid w:val="008B70E1"/>
    <w:rsid w:val="008C14D3"/>
    <w:rsid w:val="008F3B8D"/>
    <w:rsid w:val="00904D1E"/>
    <w:rsid w:val="0090607D"/>
    <w:rsid w:val="00946156"/>
    <w:rsid w:val="009579BC"/>
    <w:rsid w:val="00961B24"/>
    <w:rsid w:val="00965D60"/>
    <w:rsid w:val="009703F6"/>
    <w:rsid w:val="00985A8A"/>
    <w:rsid w:val="00992B1F"/>
    <w:rsid w:val="009936A9"/>
    <w:rsid w:val="009A62E9"/>
    <w:rsid w:val="009C088F"/>
    <w:rsid w:val="009E05A9"/>
    <w:rsid w:val="00A27702"/>
    <w:rsid w:val="00A31541"/>
    <w:rsid w:val="00A34BAE"/>
    <w:rsid w:val="00A3518F"/>
    <w:rsid w:val="00A83BDC"/>
    <w:rsid w:val="00AC2E55"/>
    <w:rsid w:val="00AD07CB"/>
    <w:rsid w:val="00AD6477"/>
    <w:rsid w:val="00AE6928"/>
    <w:rsid w:val="00AF2348"/>
    <w:rsid w:val="00B00553"/>
    <w:rsid w:val="00B12831"/>
    <w:rsid w:val="00B31A4B"/>
    <w:rsid w:val="00B426BF"/>
    <w:rsid w:val="00B42EC1"/>
    <w:rsid w:val="00B53D8F"/>
    <w:rsid w:val="00B64B52"/>
    <w:rsid w:val="00B674E8"/>
    <w:rsid w:val="00B9212B"/>
    <w:rsid w:val="00BA55F7"/>
    <w:rsid w:val="00BB4AF8"/>
    <w:rsid w:val="00BD1062"/>
    <w:rsid w:val="00BD4C9A"/>
    <w:rsid w:val="00BF5176"/>
    <w:rsid w:val="00C1557E"/>
    <w:rsid w:val="00C16120"/>
    <w:rsid w:val="00C1683B"/>
    <w:rsid w:val="00C16E8C"/>
    <w:rsid w:val="00C31F60"/>
    <w:rsid w:val="00C52134"/>
    <w:rsid w:val="00C52457"/>
    <w:rsid w:val="00C532E5"/>
    <w:rsid w:val="00C5776A"/>
    <w:rsid w:val="00C855E7"/>
    <w:rsid w:val="00C911B9"/>
    <w:rsid w:val="00CA1C80"/>
    <w:rsid w:val="00CA3D49"/>
    <w:rsid w:val="00CA46CA"/>
    <w:rsid w:val="00CA634B"/>
    <w:rsid w:val="00CB30B8"/>
    <w:rsid w:val="00CC49DB"/>
    <w:rsid w:val="00CD0BF2"/>
    <w:rsid w:val="00CE4BD8"/>
    <w:rsid w:val="00CF5B2C"/>
    <w:rsid w:val="00CF6C9D"/>
    <w:rsid w:val="00D107C0"/>
    <w:rsid w:val="00D23326"/>
    <w:rsid w:val="00D3555F"/>
    <w:rsid w:val="00D3671B"/>
    <w:rsid w:val="00D46BE2"/>
    <w:rsid w:val="00D56502"/>
    <w:rsid w:val="00D63AD7"/>
    <w:rsid w:val="00D70AF0"/>
    <w:rsid w:val="00D85F5A"/>
    <w:rsid w:val="00D92917"/>
    <w:rsid w:val="00D94491"/>
    <w:rsid w:val="00D94CCC"/>
    <w:rsid w:val="00DA50B0"/>
    <w:rsid w:val="00DB14E6"/>
    <w:rsid w:val="00DB6AA0"/>
    <w:rsid w:val="00DC3569"/>
    <w:rsid w:val="00DD52A4"/>
    <w:rsid w:val="00E02725"/>
    <w:rsid w:val="00E127A5"/>
    <w:rsid w:val="00E30D6D"/>
    <w:rsid w:val="00E542C8"/>
    <w:rsid w:val="00E6597A"/>
    <w:rsid w:val="00E81E84"/>
    <w:rsid w:val="00E85A99"/>
    <w:rsid w:val="00EA6EFB"/>
    <w:rsid w:val="00EB22E6"/>
    <w:rsid w:val="00ED0C4E"/>
    <w:rsid w:val="00ED299B"/>
    <w:rsid w:val="00ED6E43"/>
    <w:rsid w:val="00EF40F3"/>
    <w:rsid w:val="00F20711"/>
    <w:rsid w:val="00F307F4"/>
    <w:rsid w:val="00F44C0A"/>
    <w:rsid w:val="00F50EED"/>
    <w:rsid w:val="00F60A13"/>
    <w:rsid w:val="00F65E5C"/>
    <w:rsid w:val="00F8293F"/>
    <w:rsid w:val="00F86226"/>
    <w:rsid w:val="00F962A1"/>
    <w:rsid w:val="00FA0273"/>
    <w:rsid w:val="00FB201F"/>
    <w:rsid w:val="00FC2871"/>
    <w:rsid w:val="00FE22FB"/>
    <w:rsid w:val="01061F86"/>
    <w:rsid w:val="01280BB7"/>
    <w:rsid w:val="01323DA2"/>
    <w:rsid w:val="013B325F"/>
    <w:rsid w:val="02A940FA"/>
    <w:rsid w:val="02AD5644"/>
    <w:rsid w:val="030C6819"/>
    <w:rsid w:val="030F6403"/>
    <w:rsid w:val="03427ECC"/>
    <w:rsid w:val="03BF39AC"/>
    <w:rsid w:val="03FE1753"/>
    <w:rsid w:val="05584575"/>
    <w:rsid w:val="07315BEF"/>
    <w:rsid w:val="08597785"/>
    <w:rsid w:val="08952AB1"/>
    <w:rsid w:val="08DC47B1"/>
    <w:rsid w:val="090D04EA"/>
    <w:rsid w:val="09AE79FF"/>
    <w:rsid w:val="0A2E13C6"/>
    <w:rsid w:val="0B0F7247"/>
    <w:rsid w:val="0BFC3DAC"/>
    <w:rsid w:val="0C430AA6"/>
    <w:rsid w:val="0CF11FC8"/>
    <w:rsid w:val="0DAB0955"/>
    <w:rsid w:val="0E2C7645"/>
    <w:rsid w:val="10A06833"/>
    <w:rsid w:val="11651641"/>
    <w:rsid w:val="121D1461"/>
    <w:rsid w:val="13450D42"/>
    <w:rsid w:val="13A35802"/>
    <w:rsid w:val="159C4E32"/>
    <w:rsid w:val="15B51799"/>
    <w:rsid w:val="161B4871"/>
    <w:rsid w:val="16A01F34"/>
    <w:rsid w:val="16DE2178"/>
    <w:rsid w:val="17A40A69"/>
    <w:rsid w:val="17C23D74"/>
    <w:rsid w:val="17CA5720"/>
    <w:rsid w:val="18442DEF"/>
    <w:rsid w:val="184944EB"/>
    <w:rsid w:val="19A37E53"/>
    <w:rsid w:val="19FA1EEC"/>
    <w:rsid w:val="1A35572B"/>
    <w:rsid w:val="1AE667A7"/>
    <w:rsid w:val="1C183CFA"/>
    <w:rsid w:val="1C273D2A"/>
    <w:rsid w:val="1C5D5722"/>
    <w:rsid w:val="1C7334F3"/>
    <w:rsid w:val="1CF47940"/>
    <w:rsid w:val="1E1E32AA"/>
    <w:rsid w:val="1E384A40"/>
    <w:rsid w:val="1E945731"/>
    <w:rsid w:val="233523C3"/>
    <w:rsid w:val="255B5120"/>
    <w:rsid w:val="256656B4"/>
    <w:rsid w:val="25843104"/>
    <w:rsid w:val="26A5409A"/>
    <w:rsid w:val="26D97D2D"/>
    <w:rsid w:val="28272534"/>
    <w:rsid w:val="28FE61BE"/>
    <w:rsid w:val="29566D93"/>
    <w:rsid w:val="29B33B7B"/>
    <w:rsid w:val="29D40A2C"/>
    <w:rsid w:val="2AE40EF7"/>
    <w:rsid w:val="2C4A02E2"/>
    <w:rsid w:val="2C6E758E"/>
    <w:rsid w:val="2C9F1DEF"/>
    <w:rsid w:val="2E1607D1"/>
    <w:rsid w:val="2E5907D4"/>
    <w:rsid w:val="2E87339B"/>
    <w:rsid w:val="2EFD740E"/>
    <w:rsid w:val="2F062A6E"/>
    <w:rsid w:val="2FD1709A"/>
    <w:rsid w:val="3008775A"/>
    <w:rsid w:val="30CB7A6D"/>
    <w:rsid w:val="31996E73"/>
    <w:rsid w:val="32344A7B"/>
    <w:rsid w:val="32843C53"/>
    <w:rsid w:val="332078FA"/>
    <w:rsid w:val="33D7217F"/>
    <w:rsid w:val="34C60BA3"/>
    <w:rsid w:val="35793CEE"/>
    <w:rsid w:val="368514F5"/>
    <w:rsid w:val="3809681D"/>
    <w:rsid w:val="382C74A9"/>
    <w:rsid w:val="383375DF"/>
    <w:rsid w:val="38540C47"/>
    <w:rsid w:val="38A23A5D"/>
    <w:rsid w:val="38C52962"/>
    <w:rsid w:val="39F472C4"/>
    <w:rsid w:val="3A616090"/>
    <w:rsid w:val="3AB20FAC"/>
    <w:rsid w:val="3ACC422F"/>
    <w:rsid w:val="3AEA2C3D"/>
    <w:rsid w:val="3B321E9B"/>
    <w:rsid w:val="3B4530CC"/>
    <w:rsid w:val="3B5D23A8"/>
    <w:rsid w:val="3B727EED"/>
    <w:rsid w:val="3B9C4005"/>
    <w:rsid w:val="3CB5767C"/>
    <w:rsid w:val="3D2D05FE"/>
    <w:rsid w:val="3DAC2241"/>
    <w:rsid w:val="3DB37C37"/>
    <w:rsid w:val="3DD53CC9"/>
    <w:rsid w:val="3EBB22EE"/>
    <w:rsid w:val="3F1D2349"/>
    <w:rsid w:val="40CA5245"/>
    <w:rsid w:val="4465044A"/>
    <w:rsid w:val="44693570"/>
    <w:rsid w:val="455B635E"/>
    <w:rsid w:val="459C60E4"/>
    <w:rsid w:val="461216B9"/>
    <w:rsid w:val="46615B98"/>
    <w:rsid w:val="46CE7084"/>
    <w:rsid w:val="477D3E4B"/>
    <w:rsid w:val="48802890"/>
    <w:rsid w:val="48B70E86"/>
    <w:rsid w:val="499C7D86"/>
    <w:rsid w:val="4AF57F4B"/>
    <w:rsid w:val="4B3405EC"/>
    <w:rsid w:val="4D5C2139"/>
    <w:rsid w:val="4E305A09"/>
    <w:rsid w:val="4E862062"/>
    <w:rsid w:val="4F107A0E"/>
    <w:rsid w:val="50EB6A1F"/>
    <w:rsid w:val="512A26AB"/>
    <w:rsid w:val="51EB780F"/>
    <w:rsid w:val="523C40AA"/>
    <w:rsid w:val="52E34B2E"/>
    <w:rsid w:val="52EA295C"/>
    <w:rsid w:val="54980DFE"/>
    <w:rsid w:val="575313B3"/>
    <w:rsid w:val="576E0C05"/>
    <w:rsid w:val="579E594E"/>
    <w:rsid w:val="57DA393F"/>
    <w:rsid w:val="58036BE0"/>
    <w:rsid w:val="59083079"/>
    <w:rsid w:val="5A8013CC"/>
    <w:rsid w:val="5C4E0426"/>
    <w:rsid w:val="5DFD0F59"/>
    <w:rsid w:val="5E0E5D23"/>
    <w:rsid w:val="5E9F12CF"/>
    <w:rsid w:val="5EF10F30"/>
    <w:rsid w:val="604F5737"/>
    <w:rsid w:val="63035473"/>
    <w:rsid w:val="63525291"/>
    <w:rsid w:val="648D242D"/>
    <w:rsid w:val="653738E3"/>
    <w:rsid w:val="65561244"/>
    <w:rsid w:val="66B03FC5"/>
    <w:rsid w:val="66F7310F"/>
    <w:rsid w:val="678A2C01"/>
    <w:rsid w:val="681F1E63"/>
    <w:rsid w:val="68472CC4"/>
    <w:rsid w:val="688D3A35"/>
    <w:rsid w:val="69720528"/>
    <w:rsid w:val="69B865DE"/>
    <w:rsid w:val="6A1C64EF"/>
    <w:rsid w:val="6A4F5DDA"/>
    <w:rsid w:val="6A5300EB"/>
    <w:rsid w:val="6A5D4693"/>
    <w:rsid w:val="6B1C1071"/>
    <w:rsid w:val="6C6124C1"/>
    <w:rsid w:val="6C96476C"/>
    <w:rsid w:val="6CB425A5"/>
    <w:rsid w:val="6D730B5F"/>
    <w:rsid w:val="6D9E0729"/>
    <w:rsid w:val="6DE95EB0"/>
    <w:rsid w:val="6EFB32A8"/>
    <w:rsid w:val="6FE155B4"/>
    <w:rsid w:val="6FE6179B"/>
    <w:rsid w:val="703C5E40"/>
    <w:rsid w:val="7057091F"/>
    <w:rsid w:val="711558A3"/>
    <w:rsid w:val="713B0E50"/>
    <w:rsid w:val="7194460E"/>
    <w:rsid w:val="72664F90"/>
    <w:rsid w:val="73B901E7"/>
    <w:rsid w:val="73BE3BD3"/>
    <w:rsid w:val="74D2407C"/>
    <w:rsid w:val="754A236B"/>
    <w:rsid w:val="762F6B4B"/>
    <w:rsid w:val="76AE1AA2"/>
    <w:rsid w:val="781B28E2"/>
    <w:rsid w:val="79770680"/>
    <w:rsid w:val="7ABB0491"/>
    <w:rsid w:val="7B872B9C"/>
    <w:rsid w:val="7B9E3D61"/>
    <w:rsid w:val="7C2942CF"/>
    <w:rsid w:val="7CFE44EF"/>
    <w:rsid w:val="7D322943"/>
    <w:rsid w:val="7D3B75FF"/>
    <w:rsid w:val="7D743307"/>
    <w:rsid w:val="7E120769"/>
    <w:rsid w:val="7F30000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unhideWhenUsed="0" w:uiPriority="0" w:semiHidden="0" w:name="heading 7"/>
    <w:lsdException w:unhideWhenUsed="0" w:uiPriority="0" w:semiHidden="0" w:name="heading 8"/>
    <w:lsdException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qFormat/>
    <w:uiPriority w:val="0"/>
    <w:pPr>
      <w:widowControl/>
      <w:spacing w:before="100" w:beforeAutospacing="1" w:after="100" w:afterAutospacing="1"/>
      <w:jc w:val="left"/>
      <w:outlineLvl w:val="0"/>
    </w:pPr>
    <w:rPr>
      <w:rFonts w:ascii="宋体" w:hAnsi="宋体" w:cs="宋体"/>
      <w:b/>
      <w:bCs/>
      <w:kern w:val="36"/>
      <w:sz w:val="48"/>
      <w:szCs w:val="48"/>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annotation text"/>
    <w:basedOn w:val="1"/>
    <w:semiHidden/>
    <w:qFormat/>
    <w:uiPriority w:val="0"/>
    <w:pPr>
      <w:jc w:val="left"/>
    </w:pPr>
  </w:style>
  <w:style w:type="paragraph" w:styleId="4">
    <w:name w:val="Balloon Text"/>
    <w:basedOn w:val="1"/>
    <w:semiHidden/>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8">
    <w:name w:val="annotation subject"/>
    <w:basedOn w:val="3"/>
    <w:next w:val="3"/>
    <w:semiHidden/>
    <w:qFormat/>
    <w:uiPriority w:val="0"/>
    <w:rPr>
      <w:b/>
      <w:bCs/>
    </w:rPr>
  </w:style>
  <w:style w:type="character" w:styleId="11">
    <w:name w:val="Strong"/>
    <w:basedOn w:val="10"/>
    <w:qFormat/>
    <w:uiPriority w:val="0"/>
    <w:rPr>
      <w:b/>
    </w:rPr>
  </w:style>
  <w:style w:type="character" w:styleId="12">
    <w:name w:val="page number"/>
    <w:basedOn w:val="10"/>
    <w:qFormat/>
    <w:uiPriority w:val="0"/>
  </w:style>
  <w:style w:type="character" w:styleId="13">
    <w:name w:val="annotation reference"/>
    <w:basedOn w:val="10"/>
    <w:semiHidden/>
    <w:qFormat/>
    <w:uiPriority w:val="0"/>
    <w:rPr>
      <w:sz w:val="21"/>
      <w:szCs w:val="21"/>
    </w:rPr>
  </w:style>
  <w:style w:type="character" w:customStyle="1" w:styleId="14">
    <w:name w:val="style11"/>
    <w:basedOn w:val="10"/>
    <w:qFormat/>
    <w:uiPriority w:val="0"/>
    <w:rPr>
      <w:b/>
      <w:bCs/>
      <w:color w:val="D54F2B"/>
      <w:sz w:val="19"/>
      <w:szCs w:val="19"/>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 China</Company>
  <Pages>3</Pages>
  <Words>2226</Words>
  <Characters>2747</Characters>
  <Lines>20</Lines>
  <Paragraphs>5</Paragraphs>
  <TotalTime>10</TotalTime>
  <ScaleCrop>false</ScaleCrop>
  <LinksUpToDate>false</LinksUpToDate>
  <CharactersWithSpaces>2789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2009-12-15T06:37:00Z</dcterms:created>
  <dc:creator>smw</dc:creator>
  <cp:lastModifiedBy>浩纸</cp:lastModifiedBy>
  <cp:lastPrinted>2011-07-05T02:03:00Z</cp:lastPrinted>
  <dcterms:modified xsi:type="dcterms:W3CDTF">2026-07-29T08:52:47Z</dcterms:modified>
  <dc:title>桐庐县城浮桥埠区块桥北路（二标）北侧山体边坡整治工程</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D8FE2F0BBFE64520B74EB5180624C128_13</vt:lpwstr>
  </property>
  <property fmtid="{D5CDD505-2E9C-101B-9397-08002B2CF9AE}" pid="4" name="KSOTemplateDocerSaveRecord">
    <vt:lpwstr>eyJoZGlkIjoiYzM2YjdhMmU0NmZhZmE2MGUwMGFkMjBmYjgyMTc2ZGEiLCJ1c2VySWQiOiI0NTM0MDM2MTMifQ==</vt:lpwstr>
  </property>
</Properties>
</file>