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textAlignment w:val="baseline"/>
        <w:rPr>
          <w:rFonts w:ascii="方正小标宋_GBK" w:eastAsia="方正小标宋_GBK" w:cs="方正小标宋_GBK"/>
          <w:sz w:val="32"/>
          <w:szCs w:val="32"/>
        </w:rPr>
      </w:pPr>
      <w:r>
        <w:rPr>
          <w:rFonts w:hint="eastAsia" w:ascii="方正小标宋_GBK" w:eastAsia="方正小标宋_GBK" w:cs="方正小标宋_GBK"/>
          <w:sz w:val="32"/>
          <w:szCs w:val="32"/>
        </w:rPr>
        <w:t>附件1</w:t>
      </w:r>
    </w:p>
    <w:p>
      <w:pPr>
        <w:jc w:val="center"/>
        <w:textAlignment w:val="baseline"/>
        <w:rPr>
          <w:rFonts w:ascii="方正小标宋_GBK" w:eastAsia="方正小标宋_GBK" w:cs="方正小标宋_GBK"/>
          <w:sz w:val="32"/>
          <w:szCs w:val="32"/>
        </w:rPr>
      </w:pPr>
      <w:r>
        <w:rPr>
          <w:rFonts w:hint="eastAsia" w:ascii="方正小标宋_GBK" w:eastAsia="方正小标宋_GBK" w:cs="方正小标宋_GBK"/>
          <w:sz w:val="32"/>
          <w:szCs w:val="32"/>
        </w:rPr>
        <w:t>限额以下工程建设项目综合比选规则</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本规则适用限额以下（400万元）单个工程建设项目综合比选。具体操作流程如下：</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1、建设单位将预算审核价（土石方工程为最高限价）作为比选公告中的项目造价。土石方工程的最高限价按以下方式确定：预算价（预算审核价）200万元以下的土石方工程按预算价（预算审核价）下浮20%作为最高限价。预算价（预算审核价）200万元以上的土石方工程由市交管办、发改局、财政局、建设单位和行政监督部门联合协商确定最高限价。</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2、所有已经在“建德主体库”中完成信息录入的参选单位根据比选文件要求参加比选。在有效报价区间内（报价区间详见“工程建设项目下浮幅度有效范围表”）报下浮费率，小数点保留2位，报价超出有效报价区间的作无效处理。</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3、比选基准下浮费率的确定：预算审核价低于400万元的，由比选人代表通过系统在比选报价下浮的有效范围内随机抽取4个下浮费率，取4个下浮费率的平均值为基准下浮费率，比选基准价=（预算审核价-暂估价）*（1—基准下浮费率）+暂估价。</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4、比选结果采用商务评分加信用综合评价分确定。总分=商务评分（96分）+信用综合评价分（4分）。有效被比选人按总分从高到低进行排序，得分最高的为第一中选候选人。总得分相同的，以报价低的优先；比选报价仍相同的，由比选人随机抽取确定。</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5、商务评分的确定：采用总价下浮</w:t>
      </w:r>
      <w:r>
        <w:rPr>
          <w:rFonts w:hint="eastAsia" w:ascii="宋体" w:hAnsi="宋体" w:eastAsia="宋体" w:cs="宋体"/>
          <w:sz w:val="30"/>
          <w:szCs w:val="30"/>
          <w:lang w:eastAsia="zh-CN"/>
        </w:rPr>
        <w:t>费</w:t>
      </w:r>
      <w:r>
        <w:rPr>
          <w:rFonts w:hint="eastAsia" w:ascii="宋体" w:hAnsi="宋体" w:eastAsia="宋体" w:cs="宋体"/>
          <w:sz w:val="30"/>
          <w:szCs w:val="30"/>
        </w:rPr>
        <w:t>率计分办法，</w:t>
      </w:r>
      <w:r>
        <w:rPr>
          <w:rFonts w:hint="eastAsia" w:ascii="宋体" w:hAnsi="宋体" w:eastAsia="宋体" w:cs="宋体"/>
          <w:sz w:val="30"/>
          <w:szCs w:val="30"/>
          <w:lang w:eastAsia="zh-CN"/>
        </w:rPr>
        <w:t>参选单位的</w:t>
      </w:r>
      <w:r>
        <w:rPr>
          <w:rFonts w:hint="eastAsia" w:ascii="宋体" w:hAnsi="宋体" w:eastAsia="宋体" w:cs="宋体"/>
          <w:sz w:val="30"/>
          <w:szCs w:val="30"/>
        </w:rPr>
        <w:t>报</w:t>
      </w:r>
      <w:r>
        <w:rPr>
          <w:rFonts w:hint="eastAsia" w:ascii="宋体" w:hAnsi="宋体" w:eastAsia="宋体" w:cs="宋体"/>
          <w:sz w:val="30"/>
          <w:szCs w:val="30"/>
          <w:lang w:eastAsia="zh-CN"/>
        </w:rPr>
        <w:t>价</w:t>
      </w:r>
      <w:r>
        <w:rPr>
          <w:rFonts w:hint="eastAsia" w:ascii="宋体" w:hAnsi="宋体" w:eastAsia="宋体" w:cs="宋体"/>
          <w:sz w:val="30"/>
          <w:szCs w:val="30"/>
        </w:rPr>
        <w:t>下浮费率等于基准下浮费率得满分，低于基准下浮费率（报价高者）每0.01%扣0.2分，高于基准下浮费率（报价低者）每0.01%扣0.1分，计算精确到小数点后两位。</w:t>
      </w:r>
    </w:p>
    <w:p>
      <w:pPr>
        <w:spacing w:line="400" w:lineRule="exact"/>
        <w:ind w:firstLine="600" w:firstLineChars="200"/>
        <w:textAlignment w:val="baseline"/>
        <w:rPr>
          <w:rFonts w:hint="eastAsia" w:ascii="宋体" w:hAnsi="宋体" w:eastAsia="宋体" w:cs="宋体"/>
          <w:sz w:val="30"/>
          <w:szCs w:val="30"/>
        </w:rPr>
      </w:pPr>
      <w:r>
        <w:rPr>
          <w:rFonts w:hint="eastAsia" w:ascii="宋体" w:hAnsi="宋体" w:eastAsia="宋体" w:cs="宋体"/>
          <w:sz w:val="30"/>
          <w:szCs w:val="30"/>
        </w:rPr>
        <w:t>6、信用综合评价分的确定：信用综合评价分根据行业主管部门在杭州市公共资源交易中心建德分中心网站公布的分数为准，实行每月调整公布一次。公布的信用综合评价分超过4分的，按4分计算。</w:t>
      </w:r>
    </w:p>
    <w:p>
      <w:pPr>
        <w:spacing w:line="400" w:lineRule="exact"/>
        <w:ind w:firstLine="600" w:firstLineChars="200"/>
        <w:textAlignment w:val="baseline"/>
        <w:rPr>
          <w:rFonts w:hint="eastAsia" w:ascii="宋体" w:hAnsi="宋体" w:eastAsia="宋体" w:cs="宋体"/>
          <w:sz w:val="32"/>
          <w:szCs w:val="32"/>
        </w:rPr>
      </w:pPr>
      <w:r>
        <w:rPr>
          <w:rFonts w:hint="eastAsia" w:ascii="宋体" w:hAnsi="宋体" w:eastAsia="宋体" w:cs="宋体"/>
          <w:sz w:val="30"/>
          <w:szCs w:val="30"/>
        </w:rPr>
        <w:t>7、中选单位与比选单位签订的项目合同价的计算原则：中选人报的下浮费率高于或等于基准下浮费率时，合同价=（预算审核价-暂估价）*（1—报</w:t>
      </w:r>
      <w:r>
        <w:rPr>
          <w:rFonts w:hint="eastAsia" w:ascii="宋体" w:hAnsi="宋体" w:eastAsia="宋体" w:cs="宋体"/>
          <w:sz w:val="30"/>
          <w:szCs w:val="30"/>
          <w:lang w:eastAsia="zh-CN"/>
        </w:rPr>
        <w:t>价</w:t>
      </w:r>
      <w:r>
        <w:rPr>
          <w:rFonts w:hint="eastAsia" w:ascii="宋体" w:hAnsi="宋体" w:eastAsia="宋体" w:cs="宋体"/>
          <w:sz w:val="30"/>
          <w:szCs w:val="30"/>
        </w:rPr>
        <w:t>下浮费率）+暂估价。反之，合同价=比选基准价。</w:t>
      </w:r>
    </w:p>
    <w:p>
      <w:pPr>
        <w:textAlignment w:val="baseline"/>
        <w:rPr>
          <w:rFonts w:hint="eastAsia" w:ascii="宋体" w:hAnsi="宋体" w:eastAsia="宋体" w:cs="宋体"/>
          <w:sz w:val="20"/>
        </w:rPr>
      </w:pPr>
    </w:p>
    <w:p>
      <w:pPr>
        <w:jc w:val="center"/>
        <w:rPr>
          <w:rFonts w:ascii="方正小标宋_GBK" w:eastAsia="方正小标宋_GBK" w:cs="方正小标宋_GBK"/>
          <w:sz w:val="32"/>
          <w:szCs w:val="32"/>
        </w:rPr>
      </w:pPr>
      <w:r>
        <w:rPr>
          <w:rFonts w:hint="eastAsia" w:ascii="方正小标宋_GBK" w:eastAsia="方正小标宋_GBK" w:cs="方正小标宋_GBK"/>
          <w:sz w:val="32"/>
          <w:szCs w:val="32"/>
        </w:rPr>
        <w:t>工程建设项目下浮幅度有效范围表</w:t>
      </w:r>
    </w:p>
    <w:tbl>
      <w:tblPr>
        <w:tblStyle w:val="5"/>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4279"/>
        <w:gridCol w:w="2075"/>
        <w:gridCol w:w="1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序号</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工程类别</w:t>
            </w:r>
          </w:p>
        </w:tc>
        <w:tc>
          <w:tcPr>
            <w:tcW w:w="207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基  数</w:t>
            </w: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下浮幅度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kern w:val="0"/>
                <w:sz w:val="28"/>
                <w:szCs w:val="28"/>
              </w:rPr>
              <w:t>建筑</w:t>
            </w:r>
          </w:p>
        </w:tc>
        <w:tc>
          <w:tcPr>
            <w:tcW w:w="2075" w:type="dxa"/>
            <w:vMerge w:val="restart"/>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建设单位预算审核价（扣除招标文件中规定的不可变动的暂估价、暂列金额）</w:t>
            </w: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2</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交通、地质灾害、装修装饰工程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8%-16%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3</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市政基础设施、土地整理（土地复垦项目）、中低产田改造、高标准农田工程</w:t>
            </w:r>
            <w:r>
              <w:rPr>
                <w:rFonts w:hint="eastAsia" w:ascii="宋体"/>
                <w:kern w:val="0"/>
                <w:sz w:val="28"/>
                <w:szCs w:val="28"/>
              </w:rPr>
              <w:t>、土石方工程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4</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水利、安装工程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5</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园林绿化工程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17%-25%</w:t>
            </w:r>
          </w:p>
        </w:tc>
      </w:tr>
    </w:tbl>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pStyle w:val="2"/>
        <w:spacing w:before="54"/>
        <w:textAlignment w:val="baseline"/>
        <w:rPr>
          <w:rFonts w:ascii="方正仿宋简体" w:hAnsi="方正仿宋简体" w:eastAsia="方正仿宋简体" w:cs="方正仿宋简体"/>
          <w:sz w:val="44"/>
          <w:szCs w:val="44"/>
        </w:rPr>
      </w:pPr>
      <w:r>
        <w:rPr>
          <w:rFonts w:hint="eastAsia" w:ascii="黑体" w:eastAsia="黑体"/>
        </w:rPr>
        <w:t>　附件</w:t>
      </w:r>
      <w:r>
        <w:rPr>
          <w:rFonts w:hint="eastAsia" w:ascii="黑体" w:eastAsia="黑体"/>
          <w:lang w:val="en-US"/>
        </w:rPr>
        <w:t xml:space="preserve"> 2    </w:t>
      </w:r>
      <w:r>
        <w:rPr>
          <w:rFonts w:hint="eastAsia" w:ascii="方正小标宋_GBK" w:hAnsi="Calibri" w:eastAsia="方正小标宋_GBK" w:cs="方正小标宋_GBK"/>
          <w:lang w:val="en-US" w:bidi="ar-SA"/>
        </w:rPr>
        <w:t>施工参选人信用综合评价分记分标准（-2-4分）</w:t>
      </w:r>
    </w:p>
    <w:tbl>
      <w:tblPr>
        <w:tblStyle w:val="5"/>
        <w:tblW w:w="10035"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7260"/>
        <w:gridCol w:w="570"/>
        <w:gridCol w:w="15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60" w:type="dxa"/>
          </w:tcPr>
          <w:p>
            <w:pPr>
              <w:pStyle w:val="9"/>
              <w:ind w:left="177"/>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项目</w:t>
            </w:r>
          </w:p>
        </w:tc>
        <w:tc>
          <w:tcPr>
            <w:tcW w:w="7260" w:type="dxa"/>
          </w:tcPr>
          <w:p>
            <w:pPr>
              <w:pStyle w:val="9"/>
              <w:ind w:left="2846" w:right="2835"/>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评价内容</w:t>
            </w:r>
          </w:p>
        </w:tc>
        <w:tc>
          <w:tcPr>
            <w:tcW w:w="570" w:type="dxa"/>
          </w:tcPr>
          <w:p>
            <w:pPr>
              <w:pStyle w:val="9"/>
              <w:ind w:left="58" w:right="45"/>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分值</w:t>
            </w:r>
          </w:p>
        </w:tc>
        <w:tc>
          <w:tcPr>
            <w:tcW w:w="1545" w:type="dxa"/>
          </w:tcPr>
          <w:p>
            <w:pPr>
              <w:pStyle w:val="9"/>
              <w:spacing w:line="300" w:lineRule="exact"/>
              <w:ind w:left="303" w:right="191" w:hanging="101"/>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记分标准和时效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660" w:type="dxa"/>
            <w:vMerge w:val="restart"/>
            <w:vAlign w:val="center"/>
          </w:tcPr>
          <w:p>
            <w:pPr>
              <w:pStyle w:val="9"/>
              <w:spacing w:line="400" w:lineRule="exact"/>
              <w:ind w:left="168" w:right="40" w:hanging="111"/>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1</w:t>
            </w:r>
            <w:r>
              <w:rPr>
                <w:rFonts w:hint="eastAsia" w:ascii="方正仿宋简体" w:hAnsi="方正仿宋简体" w:eastAsia="方正仿宋简体" w:cs="方正仿宋简体"/>
                <w:spacing w:val="-37"/>
                <w:sz w:val="22"/>
                <w:szCs w:val="22"/>
              </w:rPr>
              <w:t>、社会</w:t>
            </w:r>
            <w:r>
              <w:rPr>
                <w:rFonts w:hint="eastAsia" w:ascii="方正仿宋简体" w:hAnsi="方正仿宋简体" w:eastAsia="方正仿宋简体" w:cs="方正仿宋简体"/>
                <w:sz w:val="22"/>
                <w:szCs w:val="22"/>
              </w:rPr>
              <w:t>贡献</w:t>
            </w:r>
          </w:p>
        </w:tc>
        <w:tc>
          <w:tcPr>
            <w:tcW w:w="7260" w:type="dxa"/>
          </w:tcPr>
          <w:p>
            <w:pPr>
              <w:pStyle w:val="9"/>
              <w:spacing w:before="29" w:line="400" w:lineRule="exact"/>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参加各类公益事业，受到建德市政府表彰的，每次得</w:t>
            </w:r>
            <w:r>
              <w:rPr>
                <w:rFonts w:hint="eastAsia" w:ascii="方正仿宋简体" w:hAnsi="方正仿宋简体" w:eastAsia="方正仿宋简体" w:cs="方正仿宋简体"/>
                <w:sz w:val="22"/>
                <w:szCs w:val="22"/>
                <w:lang w:val="en-US"/>
              </w:rPr>
              <w:t>0.5分；受到</w:t>
            </w:r>
            <w:r>
              <w:rPr>
                <w:rFonts w:hint="eastAsia" w:ascii="方正仿宋简体" w:hAnsi="方正仿宋简体" w:eastAsia="方正仿宋简体" w:cs="方正仿宋简体"/>
                <w:sz w:val="22"/>
                <w:szCs w:val="22"/>
              </w:rPr>
              <w:t>建德市行业行政主管部门表彰的，每次得</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z w:val="22"/>
                <w:szCs w:val="22"/>
              </w:rPr>
              <w:t>分；本项最高得</w:t>
            </w:r>
            <w:r>
              <w:rPr>
                <w:rFonts w:hint="eastAsia" w:ascii="方正仿宋简体" w:hAnsi="方正仿宋简体" w:eastAsia="方正仿宋简体" w:cs="方正仿宋简体"/>
                <w:sz w:val="22"/>
                <w:szCs w:val="22"/>
                <w:lang w:val="en-US"/>
              </w:rPr>
              <w:t>1</w:t>
            </w:r>
            <w:r>
              <w:rPr>
                <w:rFonts w:hint="eastAsia" w:ascii="方正仿宋简体" w:hAnsi="方正仿宋简体" w:eastAsia="方正仿宋简体" w:cs="方正仿宋简体"/>
                <w:sz w:val="22"/>
                <w:szCs w:val="22"/>
              </w:rPr>
              <w:t>分</w:t>
            </w:r>
          </w:p>
        </w:tc>
        <w:tc>
          <w:tcPr>
            <w:tcW w:w="570" w:type="dxa"/>
          </w:tcPr>
          <w:p>
            <w:pPr>
              <w:pStyle w:val="9"/>
              <w:spacing w:before="194"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lang w:val="en-US"/>
              </w:rPr>
              <w:t>0.5</w:t>
            </w:r>
          </w:p>
        </w:tc>
        <w:tc>
          <w:tcPr>
            <w:tcW w:w="1545" w:type="dxa"/>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4" w:hRule="atLeast"/>
        </w:trPr>
        <w:tc>
          <w:tcPr>
            <w:tcW w:w="660" w:type="dxa"/>
            <w:vMerge w:val="continue"/>
            <w:tcBorders>
              <w:top w:val="nil"/>
            </w:tcBorders>
          </w:tcPr>
          <w:p>
            <w:pPr>
              <w:spacing w:line="400" w:lineRule="exact"/>
              <w:jc w:val="center"/>
              <w:textAlignment w:val="baseline"/>
              <w:rPr>
                <w:rFonts w:ascii="方正仿宋简体" w:hAnsi="方正仿宋简体" w:eastAsia="方正仿宋简体" w:cs="方正仿宋简体"/>
                <w:sz w:val="22"/>
                <w:szCs w:val="22"/>
              </w:rPr>
            </w:pPr>
          </w:p>
        </w:tc>
        <w:tc>
          <w:tcPr>
            <w:tcW w:w="7260" w:type="dxa"/>
          </w:tcPr>
          <w:p>
            <w:pPr>
              <w:pStyle w:val="9"/>
              <w:spacing w:before="30" w:line="400" w:lineRule="exact"/>
              <w:ind w:left="57"/>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pacing w:val="-2"/>
                <w:sz w:val="22"/>
                <w:szCs w:val="22"/>
              </w:rPr>
              <w:t>在建德市行政区域内报审之日上一年度</w:t>
            </w:r>
            <w:r>
              <w:rPr>
                <w:rFonts w:hint="eastAsia" w:ascii="方正仿宋简体" w:hAnsi="方正仿宋简体" w:eastAsia="方正仿宋简体" w:cs="方正仿宋简体"/>
                <w:spacing w:val="-3"/>
                <w:sz w:val="22"/>
                <w:szCs w:val="22"/>
              </w:rPr>
              <w:t>累计缴纳的税收达到</w:t>
            </w:r>
            <w:r>
              <w:rPr>
                <w:rFonts w:hint="eastAsia" w:ascii="方正仿宋简体" w:hAnsi="方正仿宋简体" w:eastAsia="方正仿宋简体" w:cs="方正仿宋简体"/>
                <w:spacing w:val="-3"/>
                <w:sz w:val="22"/>
                <w:szCs w:val="22"/>
                <w:lang w:val="en-US"/>
              </w:rPr>
              <w:t>100万元的得1分</w:t>
            </w:r>
            <w:r>
              <w:rPr>
                <w:rFonts w:hint="eastAsia" w:ascii="方正仿宋简体" w:hAnsi="方正仿宋简体" w:eastAsia="方正仿宋简体" w:cs="方正仿宋简体"/>
                <w:spacing w:val="-3"/>
                <w:sz w:val="22"/>
                <w:szCs w:val="22"/>
              </w:rPr>
              <w:t>，</w:t>
            </w:r>
            <w:r>
              <w:rPr>
                <w:rFonts w:hint="eastAsia" w:ascii="方正仿宋简体" w:hAnsi="方正仿宋简体" w:eastAsia="方正仿宋简体" w:cs="方正仿宋简体"/>
                <w:spacing w:val="-3"/>
                <w:sz w:val="22"/>
                <w:szCs w:val="22"/>
                <w:lang w:val="en-US"/>
              </w:rPr>
              <w:t>100万元以上</w:t>
            </w:r>
            <w:r>
              <w:rPr>
                <w:rFonts w:hint="eastAsia" w:ascii="方正仿宋简体" w:hAnsi="方正仿宋简体" w:eastAsia="方正仿宋简体" w:cs="方正仿宋简体"/>
                <w:spacing w:val="-13"/>
                <w:sz w:val="22"/>
                <w:szCs w:val="22"/>
              </w:rPr>
              <w:t>每纳税</w:t>
            </w:r>
            <w:r>
              <w:rPr>
                <w:rFonts w:hint="eastAsia" w:ascii="方正仿宋简体" w:hAnsi="方正仿宋简体" w:eastAsia="方正仿宋简体" w:cs="方正仿宋简体"/>
                <w:spacing w:val="-13"/>
                <w:sz w:val="22"/>
                <w:szCs w:val="22"/>
                <w:lang w:val="en-US"/>
              </w:rPr>
              <w:t>20</w:t>
            </w:r>
            <w:r>
              <w:rPr>
                <w:rFonts w:hint="eastAsia" w:ascii="方正仿宋简体" w:hAnsi="方正仿宋简体" w:eastAsia="方正仿宋简体" w:cs="方正仿宋简体"/>
                <w:spacing w:val="-14"/>
                <w:sz w:val="22"/>
                <w:szCs w:val="22"/>
              </w:rPr>
              <w:t>万元得</w:t>
            </w:r>
            <w:r>
              <w:rPr>
                <w:rFonts w:hint="eastAsia" w:ascii="方正仿宋简体" w:hAnsi="方正仿宋简体" w:eastAsia="方正仿宋简体" w:cs="方正仿宋简体"/>
                <w:sz w:val="22"/>
                <w:szCs w:val="22"/>
                <w:lang w:val="en-US"/>
              </w:rPr>
              <w:t>0.1</w:t>
            </w:r>
            <w:r>
              <w:rPr>
                <w:rFonts w:hint="eastAsia" w:ascii="方正仿宋简体" w:hAnsi="方正仿宋简体" w:eastAsia="方正仿宋简体" w:cs="方正仿宋简体"/>
                <w:spacing w:val="-10"/>
                <w:sz w:val="22"/>
                <w:szCs w:val="22"/>
              </w:rPr>
              <w:t>分，</w:t>
            </w:r>
            <w:r>
              <w:rPr>
                <w:rFonts w:hint="eastAsia" w:ascii="方正仿宋简体" w:hAnsi="方正仿宋简体" w:eastAsia="方正仿宋简体" w:cs="方正仿宋简体"/>
                <w:sz w:val="22"/>
                <w:szCs w:val="22"/>
              </w:rPr>
              <w:t>最高</w:t>
            </w:r>
            <w:r>
              <w:rPr>
                <w:rFonts w:hint="eastAsia" w:ascii="方正仿宋简体" w:hAnsi="方正仿宋简体" w:eastAsia="方正仿宋简体" w:cs="方正仿宋简体"/>
                <w:sz w:val="22"/>
                <w:szCs w:val="22"/>
                <w:lang w:val="en-US"/>
              </w:rPr>
              <w:t>2.5</w:t>
            </w:r>
            <w:r>
              <w:rPr>
                <w:rFonts w:hint="eastAsia" w:ascii="方正仿宋简体" w:hAnsi="方正仿宋简体" w:eastAsia="方正仿宋简体" w:cs="方正仿宋简体"/>
                <w:sz w:val="22"/>
                <w:szCs w:val="22"/>
              </w:rPr>
              <w:t>分。</w:t>
            </w:r>
          </w:p>
        </w:tc>
        <w:tc>
          <w:tcPr>
            <w:tcW w:w="570" w:type="dxa"/>
          </w:tcPr>
          <w:p>
            <w:pPr>
              <w:pStyle w:val="9"/>
              <w:spacing w:before="43"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lang w:val="en-US"/>
              </w:rPr>
              <w:t>2.5</w:t>
            </w:r>
          </w:p>
        </w:tc>
        <w:tc>
          <w:tcPr>
            <w:tcW w:w="1545" w:type="dxa"/>
            <w:vAlign w:val="center"/>
          </w:tcPr>
          <w:p>
            <w:pPr>
              <w:pStyle w:val="9"/>
              <w:spacing w:before="34" w:line="400" w:lineRule="exact"/>
              <w:ind w:left="77" w:right="61"/>
              <w:jc w:val="center"/>
              <w:textAlignment w:val="baseline"/>
              <w:rPr>
                <w:rFonts w:hint="eastAsia"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以建德市税务部门出具</w:t>
            </w:r>
          </w:p>
          <w:p>
            <w:pPr>
              <w:pStyle w:val="9"/>
              <w:spacing w:before="34" w:line="400" w:lineRule="exact"/>
              <w:ind w:left="77" w:right="61"/>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应征</w:t>
            </w:r>
            <w:r>
              <w:rPr>
                <w:rFonts w:hint="eastAsia" w:ascii="方正仿宋简体" w:hAnsi="方正仿宋简体" w:eastAsia="方正仿宋简体" w:cs="方正仿宋简体"/>
                <w:sz w:val="22"/>
                <w:szCs w:val="22"/>
                <w:lang w:val="en-US"/>
              </w:rPr>
              <w:t>-退税数</w:t>
            </w:r>
            <w:r>
              <w:rPr>
                <w:rFonts w:hint="eastAsia" w:ascii="方正仿宋简体" w:hAnsi="方正仿宋简体" w:eastAsia="方正仿宋简体" w:cs="方正仿宋简体"/>
                <w:sz w:val="22"/>
                <w:szCs w:val="22"/>
              </w:rPr>
              <w:t>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trPr>
        <w:tc>
          <w:tcPr>
            <w:tcW w:w="660" w:type="dxa"/>
            <w:vMerge w:val="restart"/>
          </w:tcPr>
          <w:p>
            <w:pPr>
              <w:pStyle w:val="9"/>
              <w:spacing w:line="400" w:lineRule="exact"/>
              <w:ind w:left="168" w:right="40" w:hanging="111"/>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2</w:t>
            </w:r>
            <w:r>
              <w:rPr>
                <w:rFonts w:hint="eastAsia" w:ascii="方正仿宋简体" w:hAnsi="方正仿宋简体" w:eastAsia="方正仿宋简体" w:cs="方正仿宋简体"/>
                <w:spacing w:val="-37"/>
                <w:sz w:val="22"/>
                <w:szCs w:val="22"/>
              </w:rPr>
              <w:t>、工程</w:t>
            </w:r>
            <w:r>
              <w:rPr>
                <w:rFonts w:hint="eastAsia" w:ascii="方正仿宋简体" w:hAnsi="方正仿宋简体" w:eastAsia="方正仿宋简体" w:cs="方正仿宋简体"/>
                <w:sz w:val="22"/>
                <w:szCs w:val="22"/>
              </w:rPr>
              <w:t>管理</w:t>
            </w:r>
          </w:p>
        </w:tc>
        <w:tc>
          <w:tcPr>
            <w:tcW w:w="7260" w:type="dxa"/>
          </w:tcPr>
          <w:p>
            <w:pPr>
              <w:pStyle w:val="9"/>
              <w:spacing w:before="32" w:line="400" w:lineRule="exact"/>
              <w:ind w:left="57"/>
              <w:jc w:val="left"/>
              <w:textAlignment w:val="baseline"/>
              <w:rPr>
                <w:rFonts w:ascii="方正仿宋简体" w:hAnsi="方正仿宋简体" w:eastAsia="方正仿宋简体" w:cs="方正仿宋简体"/>
                <w:spacing w:val="-3"/>
                <w:sz w:val="22"/>
                <w:szCs w:val="22"/>
              </w:rPr>
            </w:pPr>
            <w:r>
              <w:rPr>
                <w:rFonts w:hint="eastAsia" w:ascii="方正仿宋简体" w:hAnsi="方正仿宋简体" w:eastAsia="方正仿宋简体" w:cs="方正仿宋简体"/>
                <w:spacing w:val="-2"/>
                <w:sz w:val="22"/>
                <w:szCs w:val="22"/>
              </w:rPr>
              <w:t>在建德市行政区域承建的项目</w:t>
            </w:r>
            <w:r>
              <w:rPr>
                <w:rFonts w:hint="eastAsia" w:ascii="方正仿宋简体" w:hAnsi="方正仿宋简体" w:eastAsia="方正仿宋简体" w:cs="方正仿宋简体"/>
                <w:sz w:val="22"/>
                <w:szCs w:val="22"/>
              </w:rPr>
              <w:t>荣获建德市优质工程奖每只得0.</w:t>
            </w:r>
            <w:r>
              <w:rPr>
                <w:rFonts w:hint="eastAsia" w:ascii="方正仿宋简体" w:hAnsi="方正仿宋简体" w:eastAsia="方正仿宋简体" w:cs="方正仿宋简体"/>
                <w:sz w:val="22"/>
                <w:szCs w:val="22"/>
                <w:lang w:val="en-US"/>
              </w:rPr>
              <w:t>2</w:t>
            </w:r>
            <w:r>
              <w:rPr>
                <w:rFonts w:hint="eastAsia" w:ascii="方正仿宋简体" w:hAnsi="方正仿宋简体" w:eastAsia="方正仿宋简体" w:cs="方正仿宋简体"/>
                <w:sz w:val="22"/>
                <w:szCs w:val="22"/>
              </w:rPr>
              <w:t>分，荣获杭州市优质工程奖每只得0.</w:t>
            </w:r>
            <w:r>
              <w:rPr>
                <w:rFonts w:hint="eastAsia" w:ascii="方正仿宋简体" w:hAnsi="方正仿宋简体" w:eastAsia="方正仿宋简体" w:cs="方正仿宋简体"/>
                <w:sz w:val="22"/>
                <w:szCs w:val="22"/>
                <w:lang w:val="en-US"/>
              </w:rPr>
              <w:t>3</w:t>
            </w:r>
            <w:r>
              <w:rPr>
                <w:rFonts w:hint="eastAsia" w:ascii="方正仿宋简体" w:hAnsi="方正仿宋简体" w:eastAsia="方正仿宋简体" w:cs="方正仿宋简体"/>
                <w:sz w:val="22"/>
                <w:szCs w:val="22"/>
              </w:rPr>
              <w:t>分，荣获浙江省优质工程奖每只得</w:t>
            </w:r>
            <w:r>
              <w:rPr>
                <w:rFonts w:hint="eastAsia" w:ascii="方正仿宋简体" w:hAnsi="方正仿宋简体" w:eastAsia="方正仿宋简体" w:cs="方正仿宋简体"/>
                <w:sz w:val="22"/>
                <w:szCs w:val="22"/>
                <w:lang w:val="en-US"/>
              </w:rPr>
              <w:t>0.5</w:t>
            </w:r>
            <w:r>
              <w:rPr>
                <w:rFonts w:hint="eastAsia" w:ascii="方正仿宋简体" w:hAnsi="方正仿宋简体" w:eastAsia="方正仿宋简体" w:cs="方正仿宋简体"/>
                <w:sz w:val="22"/>
                <w:szCs w:val="22"/>
              </w:rPr>
              <w:t>分</w:t>
            </w:r>
            <w:r>
              <w:rPr>
                <w:rFonts w:hint="eastAsia" w:ascii="方正仿宋简体" w:hAnsi="方正仿宋简体" w:eastAsia="方正仿宋简体" w:cs="方正仿宋简体"/>
                <w:spacing w:val="-6"/>
                <w:sz w:val="22"/>
                <w:szCs w:val="22"/>
              </w:rPr>
              <w:t>；</w:t>
            </w:r>
            <w:r>
              <w:rPr>
                <w:rFonts w:hint="eastAsia" w:ascii="方正仿宋简体" w:hAnsi="方正仿宋简体" w:eastAsia="方正仿宋简体" w:cs="方正仿宋简体"/>
                <w:sz w:val="22"/>
                <w:szCs w:val="22"/>
              </w:rPr>
              <w:t>荣获建德市双标化样板</w:t>
            </w:r>
            <w:r>
              <w:rPr>
                <w:rFonts w:hint="eastAsia" w:ascii="方正仿宋简体" w:hAnsi="方正仿宋简体" w:eastAsia="方正仿宋简体" w:cs="方正仿宋简体"/>
                <w:spacing w:val="-10"/>
                <w:sz w:val="22"/>
                <w:szCs w:val="22"/>
              </w:rPr>
              <w:t>工地每只得</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1</w:t>
            </w:r>
            <w:r>
              <w:rPr>
                <w:rFonts w:hint="eastAsia" w:ascii="方正仿宋简体" w:hAnsi="方正仿宋简体" w:eastAsia="方正仿宋简体" w:cs="方正仿宋简体"/>
                <w:spacing w:val="-6"/>
                <w:sz w:val="22"/>
                <w:szCs w:val="22"/>
              </w:rPr>
              <w:t>分，</w:t>
            </w:r>
            <w:r>
              <w:rPr>
                <w:rFonts w:hint="eastAsia" w:ascii="方正仿宋简体" w:hAnsi="方正仿宋简体" w:eastAsia="方正仿宋简体" w:cs="方正仿宋简体"/>
                <w:sz w:val="22"/>
                <w:szCs w:val="22"/>
              </w:rPr>
              <w:t>荣获杭州市双标化样板</w:t>
            </w:r>
            <w:r>
              <w:rPr>
                <w:rFonts w:hint="eastAsia" w:ascii="方正仿宋简体" w:hAnsi="方正仿宋简体" w:eastAsia="方正仿宋简体" w:cs="方正仿宋简体"/>
                <w:spacing w:val="-10"/>
                <w:sz w:val="22"/>
                <w:szCs w:val="22"/>
              </w:rPr>
              <w:t>工地每只得</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2</w:t>
            </w:r>
            <w:r>
              <w:rPr>
                <w:rFonts w:hint="eastAsia" w:ascii="方正仿宋简体" w:hAnsi="方正仿宋简体" w:eastAsia="方正仿宋简体" w:cs="方正仿宋简体"/>
                <w:spacing w:val="-6"/>
                <w:sz w:val="22"/>
                <w:szCs w:val="22"/>
              </w:rPr>
              <w:t>分，</w:t>
            </w:r>
            <w:r>
              <w:rPr>
                <w:rFonts w:hint="eastAsia" w:ascii="方正仿宋简体" w:hAnsi="方正仿宋简体" w:eastAsia="方正仿宋简体" w:cs="方正仿宋简体"/>
                <w:sz w:val="22"/>
                <w:szCs w:val="22"/>
              </w:rPr>
              <w:t>荣获浙江省双标化样板</w:t>
            </w:r>
            <w:r>
              <w:rPr>
                <w:rFonts w:hint="eastAsia" w:ascii="方正仿宋简体" w:hAnsi="方正仿宋简体" w:eastAsia="方正仿宋简体" w:cs="方正仿宋简体"/>
                <w:spacing w:val="-10"/>
                <w:sz w:val="22"/>
                <w:szCs w:val="22"/>
              </w:rPr>
              <w:t>工地每只得</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3</w:t>
            </w:r>
            <w:r>
              <w:rPr>
                <w:rFonts w:hint="eastAsia" w:ascii="方正仿宋简体" w:hAnsi="方正仿宋简体" w:eastAsia="方正仿宋简体" w:cs="方正仿宋简体"/>
                <w:spacing w:val="-6"/>
                <w:sz w:val="22"/>
                <w:szCs w:val="22"/>
              </w:rPr>
              <w:t>分；本项</w:t>
            </w:r>
            <w:r>
              <w:rPr>
                <w:rFonts w:hint="eastAsia" w:ascii="方正仿宋简体" w:hAnsi="方正仿宋简体" w:eastAsia="方正仿宋简体" w:cs="方正仿宋简体"/>
                <w:spacing w:val="-11"/>
                <w:sz w:val="22"/>
                <w:szCs w:val="22"/>
              </w:rPr>
              <w:t>最高得</w:t>
            </w:r>
            <w:r>
              <w:rPr>
                <w:rFonts w:hint="eastAsia" w:ascii="方正仿宋简体" w:hAnsi="方正仿宋简体" w:eastAsia="方正仿宋简体" w:cs="方正仿宋简体"/>
                <w:spacing w:val="-11"/>
                <w:sz w:val="22"/>
                <w:szCs w:val="22"/>
                <w:lang w:val="en-US"/>
              </w:rPr>
              <w:t>2</w:t>
            </w:r>
            <w:r>
              <w:rPr>
                <w:rFonts w:hint="eastAsia" w:ascii="方正仿宋简体" w:hAnsi="方正仿宋简体" w:eastAsia="方正仿宋简体" w:cs="方正仿宋简体"/>
                <w:spacing w:val="-3"/>
                <w:sz w:val="22"/>
                <w:szCs w:val="22"/>
              </w:rPr>
              <w:t>分</w:t>
            </w:r>
          </w:p>
        </w:tc>
        <w:tc>
          <w:tcPr>
            <w:tcW w:w="570" w:type="dxa"/>
            <w:vMerge w:val="restart"/>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lang w:val="en-US"/>
              </w:rPr>
              <w:t>1</w:t>
            </w:r>
          </w:p>
        </w:tc>
        <w:tc>
          <w:tcPr>
            <w:tcW w:w="1545" w:type="dxa"/>
            <w:vMerge w:val="restart"/>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60" w:type="dxa"/>
            <w:vMerge w:val="continue"/>
            <w:tcBorders>
              <w:top w:val="nil"/>
            </w:tcBorders>
          </w:tcPr>
          <w:p>
            <w:pPr>
              <w:spacing w:line="400" w:lineRule="exact"/>
              <w:jc w:val="center"/>
              <w:textAlignment w:val="baseline"/>
              <w:rPr>
                <w:rFonts w:ascii="方正仿宋简体" w:hAnsi="方正仿宋简体" w:eastAsia="方正仿宋简体" w:cs="方正仿宋简体"/>
                <w:sz w:val="22"/>
                <w:szCs w:val="22"/>
              </w:rPr>
            </w:pPr>
          </w:p>
        </w:tc>
        <w:tc>
          <w:tcPr>
            <w:tcW w:w="7260" w:type="dxa"/>
          </w:tcPr>
          <w:p>
            <w:pPr>
              <w:pStyle w:val="9"/>
              <w:spacing w:before="29" w:line="400" w:lineRule="exact"/>
              <w:jc w:val="left"/>
              <w:textAlignment w:val="baseline"/>
              <w:rPr>
                <w:rFonts w:ascii="方正仿宋简体" w:hAnsi="方正仿宋简体" w:eastAsia="方正仿宋简体" w:cs="方正仿宋简体"/>
                <w:sz w:val="22"/>
                <w:szCs w:val="22"/>
              </w:rPr>
            </w:pPr>
          </w:p>
        </w:tc>
        <w:tc>
          <w:tcPr>
            <w:tcW w:w="570" w:type="dxa"/>
            <w:vMerge w:val="continue"/>
            <w:tcBorders>
              <w:top w:val="nil"/>
            </w:tcBorders>
          </w:tcPr>
          <w:p>
            <w:pPr>
              <w:spacing w:line="400" w:lineRule="exact"/>
              <w:jc w:val="center"/>
              <w:textAlignment w:val="baseline"/>
              <w:rPr>
                <w:rFonts w:ascii="方正仿宋简体" w:hAnsi="方正仿宋简体" w:eastAsia="方正仿宋简体" w:cs="方正仿宋简体"/>
                <w:sz w:val="22"/>
                <w:szCs w:val="22"/>
              </w:rPr>
            </w:pPr>
          </w:p>
        </w:tc>
        <w:tc>
          <w:tcPr>
            <w:tcW w:w="1545" w:type="dxa"/>
            <w:vMerge w:val="continue"/>
            <w:tcBorders>
              <w:top w:val="nil"/>
            </w:tcBorders>
            <w:vAlign w:val="center"/>
          </w:tcPr>
          <w:p>
            <w:pPr>
              <w:spacing w:line="400" w:lineRule="exact"/>
              <w:jc w:val="center"/>
              <w:textAlignment w:val="baseline"/>
              <w:rPr>
                <w:rFonts w:ascii="方正仿宋简体" w:hAnsi="方正仿宋简体" w:eastAsia="方正仿宋简体" w:cs="方正仿宋简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5" w:hRule="atLeast"/>
        </w:trPr>
        <w:tc>
          <w:tcPr>
            <w:tcW w:w="660" w:type="dxa"/>
          </w:tcPr>
          <w:p>
            <w:pPr>
              <w:pStyle w:val="9"/>
              <w:spacing w:line="400" w:lineRule="exact"/>
              <w:ind w:left="57" w:right="40"/>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3</w:t>
            </w:r>
            <w:r>
              <w:rPr>
                <w:rFonts w:hint="eastAsia" w:ascii="方正仿宋简体" w:hAnsi="方正仿宋简体" w:eastAsia="方正仿宋简体" w:cs="方正仿宋简体"/>
                <w:spacing w:val="-37"/>
                <w:sz w:val="22"/>
                <w:szCs w:val="22"/>
              </w:rPr>
              <w:t>、日常</w:t>
            </w:r>
            <w:r>
              <w:rPr>
                <w:rFonts w:hint="eastAsia" w:ascii="方正仿宋简体" w:hAnsi="方正仿宋简体" w:eastAsia="方正仿宋简体" w:cs="方正仿宋简体"/>
                <w:sz w:val="22"/>
                <w:szCs w:val="22"/>
              </w:rPr>
              <w:t>履约评价</w:t>
            </w:r>
          </w:p>
        </w:tc>
        <w:tc>
          <w:tcPr>
            <w:tcW w:w="7260" w:type="dxa"/>
          </w:tcPr>
          <w:p>
            <w:pPr>
              <w:pStyle w:val="9"/>
              <w:spacing w:before="30" w:line="400" w:lineRule="exact"/>
              <w:ind w:left="57" w:right="37"/>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pacing w:val="-3"/>
                <w:sz w:val="22"/>
                <w:szCs w:val="22"/>
              </w:rPr>
              <w:t>因人员到岗履职、工程进度、项目现场管理等被建设单位或属地乡镇</w:t>
            </w:r>
            <w:r>
              <w:rPr>
                <w:rFonts w:hint="eastAsia" w:ascii="方正仿宋简体" w:hAnsi="方正仿宋简体" w:eastAsia="方正仿宋简体" w:cs="方正仿宋简体"/>
                <w:sz w:val="22"/>
                <w:szCs w:val="22"/>
              </w:rPr>
              <w:t>（街道）</w:t>
            </w:r>
            <w:r>
              <w:rPr>
                <w:rFonts w:hint="eastAsia" w:ascii="方正仿宋简体" w:hAnsi="方正仿宋简体" w:eastAsia="方正仿宋简体" w:cs="方正仿宋简体"/>
                <w:spacing w:val="-4"/>
                <w:sz w:val="22"/>
                <w:szCs w:val="22"/>
              </w:rPr>
              <w:t>、平台公司通报抄送行业主管部门，每个项目每次扣</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1</w:t>
            </w:r>
            <w:r>
              <w:rPr>
                <w:rFonts w:hint="eastAsia" w:ascii="方正仿宋简体" w:hAnsi="方正仿宋简体" w:eastAsia="方正仿宋简体" w:cs="方正仿宋简体"/>
                <w:spacing w:val="-3"/>
                <w:sz w:val="22"/>
                <w:szCs w:val="22"/>
              </w:rPr>
              <w:t>分；小额工程因施工企业原因需要更换</w:t>
            </w:r>
            <w:r>
              <w:rPr>
                <w:rFonts w:hint="eastAsia" w:ascii="方正仿宋简体" w:hAnsi="方正仿宋简体" w:eastAsia="方正仿宋简体" w:cs="方正仿宋简体"/>
                <w:spacing w:val="-4"/>
                <w:sz w:val="22"/>
                <w:szCs w:val="22"/>
              </w:rPr>
              <w:t>项目负责人的每次扣</w:t>
            </w:r>
            <w:r>
              <w:rPr>
                <w:rFonts w:hint="eastAsia" w:ascii="方正仿宋简体" w:hAnsi="方正仿宋简体" w:eastAsia="方正仿宋简体" w:cs="方正仿宋简体"/>
                <w:sz w:val="22"/>
                <w:szCs w:val="22"/>
              </w:rPr>
              <w:t>0.1</w:t>
            </w:r>
            <w:r>
              <w:rPr>
                <w:rFonts w:hint="eastAsia" w:ascii="方正仿宋简体" w:hAnsi="方正仿宋简体" w:eastAsia="方正仿宋简体" w:cs="方正仿宋简体"/>
                <w:spacing w:val="-3"/>
                <w:sz w:val="22"/>
                <w:szCs w:val="22"/>
              </w:rPr>
              <w:t>分</w:t>
            </w:r>
            <w:r>
              <w:rPr>
                <w:rFonts w:hint="eastAsia" w:ascii="方正仿宋简体" w:hAnsi="方正仿宋简体" w:eastAsia="方正仿宋简体" w:cs="方正仿宋简体"/>
                <w:sz w:val="22"/>
                <w:szCs w:val="22"/>
              </w:rPr>
              <w:t>。</w:t>
            </w:r>
          </w:p>
        </w:tc>
        <w:tc>
          <w:tcPr>
            <w:tcW w:w="570" w:type="dxa"/>
          </w:tcPr>
          <w:p>
            <w:pPr>
              <w:pStyle w:val="9"/>
              <w:spacing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不限</w:t>
            </w:r>
          </w:p>
        </w:tc>
        <w:tc>
          <w:tcPr>
            <w:tcW w:w="1545" w:type="dxa"/>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2" w:hRule="atLeast"/>
        </w:trPr>
        <w:tc>
          <w:tcPr>
            <w:tcW w:w="660" w:type="dxa"/>
          </w:tcPr>
          <w:p>
            <w:pPr>
              <w:pStyle w:val="9"/>
              <w:spacing w:line="400" w:lineRule="exact"/>
              <w:ind w:left="62" w:right="40" w:hanging="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4</w:t>
            </w:r>
            <w:r>
              <w:rPr>
                <w:rFonts w:hint="eastAsia" w:ascii="方正仿宋简体" w:hAnsi="方正仿宋简体" w:eastAsia="方正仿宋简体" w:cs="方正仿宋简体"/>
                <w:spacing w:val="-37"/>
                <w:sz w:val="22"/>
                <w:szCs w:val="22"/>
              </w:rPr>
              <w:t>、不良</w:t>
            </w:r>
            <w:r>
              <w:rPr>
                <w:rFonts w:hint="eastAsia" w:ascii="方正仿宋简体" w:hAnsi="方正仿宋简体" w:eastAsia="方正仿宋简体" w:cs="方正仿宋简体"/>
                <w:sz w:val="22"/>
                <w:szCs w:val="22"/>
              </w:rPr>
              <w:t>行为和通报</w:t>
            </w:r>
          </w:p>
        </w:tc>
        <w:tc>
          <w:tcPr>
            <w:tcW w:w="7260" w:type="dxa"/>
          </w:tcPr>
          <w:p>
            <w:pPr>
              <w:pStyle w:val="9"/>
              <w:spacing w:before="1" w:line="400" w:lineRule="exact"/>
              <w:ind w:left="57" w:right="35"/>
              <w:jc w:val="left"/>
              <w:textAlignment w:val="baseline"/>
              <w:rPr>
                <w:rFonts w:ascii="方正仿宋简体" w:hAnsi="方正仿宋简体" w:eastAsia="方正仿宋简体" w:cs="方正仿宋简体"/>
                <w:spacing w:val="-2"/>
                <w:sz w:val="22"/>
                <w:szCs w:val="22"/>
              </w:rPr>
            </w:pPr>
            <w:r>
              <w:rPr>
                <w:rFonts w:hint="eastAsia" w:ascii="方正仿宋简体" w:hAnsi="方正仿宋简体" w:eastAsia="方正仿宋简体" w:cs="方正仿宋简体"/>
                <w:spacing w:val="-2"/>
                <w:sz w:val="22"/>
                <w:szCs w:val="22"/>
              </w:rPr>
              <w:t>因项</w:t>
            </w:r>
            <w:r>
              <w:rPr>
                <w:rFonts w:hint="eastAsia" w:ascii="方正仿宋简体" w:hAnsi="方正仿宋简体" w:eastAsia="方正仿宋简体" w:cs="方正仿宋简体"/>
                <w:spacing w:val="-3"/>
                <w:sz w:val="22"/>
                <w:szCs w:val="22"/>
              </w:rPr>
              <w:t>目部管理人员到岗履职、民工工资纠纷问题、电子标</w:t>
            </w:r>
            <w:r>
              <w:rPr>
                <w:rFonts w:hint="eastAsia" w:ascii="方正仿宋简体" w:hAnsi="方正仿宋简体" w:eastAsia="方正仿宋简体" w:cs="方正仿宋简体"/>
                <w:spacing w:val="-3"/>
                <w:sz w:val="22"/>
                <w:szCs w:val="22"/>
                <w:lang w:val="en-US"/>
              </w:rPr>
              <w:t>MAC地址一致</w:t>
            </w:r>
            <w:r>
              <w:rPr>
                <w:rFonts w:hint="eastAsia" w:ascii="方正仿宋简体" w:hAnsi="方正仿宋简体" w:eastAsia="方正仿宋简体" w:cs="方正仿宋简体"/>
                <w:spacing w:val="-3"/>
                <w:sz w:val="22"/>
                <w:szCs w:val="22"/>
              </w:rPr>
              <w:t>等不良行为</w:t>
            </w:r>
            <w:r>
              <w:rPr>
                <w:rFonts w:hint="eastAsia" w:ascii="方正仿宋简体" w:hAnsi="方正仿宋简体" w:eastAsia="方正仿宋简体" w:cs="方正仿宋简体"/>
                <w:spacing w:val="3"/>
                <w:sz w:val="22"/>
                <w:szCs w:val="22"/>
              </w:rPr>
              <w:t>被建德市政府标后检查领导小组、建德市防范处置企业拖欠工资工作领导小</w:t>
            </w:r>
            <w:r>
              <w:rPr>
                <w:rFonts w:hint="eastAsia" w:ascii="方正仿宋简体" w:hAnsi="方正仿宋简体" w:eastAsia="方正仿宋简体" w:cs="方正仿宋简体"/>
                <w:spacing w:val="-3"/>
                <w:sz w:val="22"/>
                <w:szCs w:val="22"/>
              </w:rPr>
              <w:t>组、行业主管部门、交管办等监督管理部门通报批评或行政处罚的，每次</w:t>
            </w:r>
            <w:r>
              <w:rPr>
                <w:rFonts w:hint="eastAsia" w:ascii="方正仿宋简体" w:hAnsi="方正仿宋简体" w:eastAsia="方正仿宋简体" w:cs="方正仿宋简体"/>
                <w:spacing w:val="-17"/>
                <w:sz w:val="22"/>
                <w:szCs w:val="22"/>
              </w:rPr>
              <w:t>扣</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pacing w:val="-6"/>
                <w:sz w:val="22"/>
                <w:szCs w:val="22"/>
              </w:rPr>
              <w:t>分；警告的，每次扣</w:t>
            </w:r>
            <w:r>
              <w:rPr>
                <w:rFonts w:hint="eastAsia" w:ascii="方正仿宋简体" w:hAnsi="方正仿宋简体" w:eastAsia="方正仿宋简体" w:cs="方正仿宋简体"/>
                <w:sz w:val="22"/>
                <w:szCs w:val="22"/>
                <w:lang w:val="en-US"/>
              </w:rPr>
              <w:t>0.2</w:t>
            </w:r>
            <w:r>
              <w:rPr>
                <w:rFonts w:hint="eastAsia" w:ascii="方正仿宋简体" w:hAnsi="方正仿宋简体" w:eastAsia="方正仿宋简体" w:cs="方正仿宋简体"/>
                <w:spacing w:val="-5"/>
                <w:sz w:val="22"/>
                <w:szCs w:val="22"/>
              </w:rPr>
              <w:t>分；受到通报表彰的，每次加</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pacing w:val="-2"/>
                <w:sz w:val="22"/>
                <w:szCs w:val="22"/>
              </w:rPr>
              <w:t>分。</w:t>
            </w:r>
          </w:p>
          <w:p>
            <w:pPr>
              <w:pStyle w:val="9"/>
              <w:spacing w:before="1" w:line="400" w:lineRule="exact"/>
              <w:ind w:left="57" w:right="35"/>
              <w:jc w:val="left"/>
              <w:textAlignment w:val="baseline"/>
              <w:rPr>
                <w:rFonts w:ascii="方正仿宋简体" w:hAnsi="方正仿宋简体" w:eastAsia="方正仿宋简体" w:cs="方正仿宋简体"/>
                <w:spacing w:val="-3"/>
                <w:sz w:val="22"/>
                <w:szCs w:val="22"/>
              </w:rPr>
            </w:pPr>
            <w:r>
              <w:rPr>
                <w:rFonts w:hint="eastAsia" w:ascii="方正仿宋简体" w:hAnsi="方正仿宋简体" w:eastAsia="方正仿宋简体" w:cs="方正仿宋简体"/>
                <w:spacing w:val="-5"/>
                <w:sz w:val="22"/>
                <w:szCs w:val="22"/>
              </w:rPr>
              <w:t>小额工程中标后无正当理由放弃中标或不签订合同的，每次扣</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pacing w:val="-3"/>
                <w:sz w:val="22"/>
                <w:szCs w:val="22"/>
              </w:rPr>
              <w:t>分。</w:t>
            </w:r>
          </w:p>
          <w:p>
            <w:pPr>
              <w:pStyle w:val="9"/>
              <w:spacing w:before="1" w:line="400" w:lineRule="exact"/>
              <w:ind w:left="57" w:right="35"/>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（同</w:t>
            </w:r>
            <w:r>
              <w:rPr>
                <w:rFonts w:hint="eastAsia" w:ascii="方正仿宋简体" w:hAnsi="方正仿宋简体" w:eastAsia="方正仿宋简体" w:cs="方正仿宋简体"/>
                <w:spacing w:val="-3"/>
                <w:sz w:val="22"/>
                <w:szCs w:val="22"/>
              </w:rPr>
              <w:t>一项目同一问题按最高分记分</w:t>
            </w:r>
            <w:r>
              <w:rPr>
                <w:rFonts w:hint="eastAsia" w:ascii="方正仿宋简体" w:hAnsi="方正仿宋简体" w:eastAsia="方正仿宋简体" w:cs="方正仿宋简体"/>
                <w:sz w:val="22"/>
                <w:szCs w:val="22"/>
              </w:rPr>
              <w:t>）</w:t>
            </w:r>
          </w:p>
        </w:tc>
        <w:tc>
          <w:tcPr>
            <w:tcW w:w="570" w:type="dxa"/>
          </w:tcPr>
          <w:p>
            <w:pPr>
              <w:pStyle w:val="9"/>
              <w:spacing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不限</w:t>
            </w:r>
          </w:p>
        </w:tc>
        <w:tc>
          <w:tcPr>
            <w:tcW w:w="1545" w:type="dxa"/>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bl>
    <w:p>
      <w:pPr>
        <w:spacing w:before="78" w:line="400" w:lineRule="exact"/>
        <w:ind w:right="299"/>
        <w:jc w:val="left"/>
        <w:textAlignment w:val="baseline"/>
        <w:rPr>
          <w:rFonts w:ascii="方正仿宋简体" w:hAnsi="方正仿宋简体" w:eastAsia="方正仿宋简体" w:cs="方正仿宋简体"/>
        </w:rPr>
      </w:pPr>
      <w:bookmarkStart w:id="0" w:name="_GoBack"/>
      <w:r>
        <w:rPr>
          <w:rFonts w:hint="eastAsia" w:ascii="方正仿宋简体" w:hAnsi="方正仿宋简体" w:eastAsia="方正仿宋简体" w:cs="方正仿宋简体"/>
          <w:spacing w:val="-30"/>
        </w:rPr>
        <w:t>备注：</w:t>
      </w:r>
      <w:r>
        <w:rPr>
          <w:rFonts w:hint="eastAsia" w:ascii="方正仿宋简体" w:hAnsi="方正仿宋简体" w:eastAsia="方正仿宋简体" w:cs="方正仿宋简体"/>
        </w:rPr>
        <w:t>1</w:t>
      </w:r>
      <w:r>
        <w:rPr>
          <w:rFonts w:hint="eastAsia" w:ascii="方正仿宋简体" w:hAnsi="方正仿宋简体" w:eastAsia="方正仿宋简体" w:cs="方正仿宋简体"/>
          <w:spacing w:val="-3"/>
        </w:rPr>
        <w:t>.投标人在每月2</w:t>
      </w:r>
      <w:r>
        <w:rPr>
          <w:rFonts w:hint="eastAsia" w:ascii="方正仿宋简体" w:hAnsi="方正仿宋简体" w:eastAsia="方正仿宋简体" w:cs="方正仿宋简体"/>
        </w:rPr>
        <w:t>5</w:t>
      </w:r>
      <w:r>
        <w:rPr>
          <w:rFonts w:hint="eastAsia" w:ascii="方正仿宋简体" w:hAnsi="方正仿宋简体" w:eastAsia="方正仿宋简体" w:cs="方正仿宋简体"/>
          <w:spacing w:val="-3"/>
        </w:rPr>
        <w:t>日前及时将信用加扣分文件或资料提供给各行业行政主管部门审核经公</w:t>
      </w:r>
      <w:r>
        <w:rPr>
          <w:rFonts w:hint="eastAsia" w:ascii="方正仿宋简体" w:hAnsi="方正仿宋简体" w:eastAsia="方正仿宋简体" w:cs="方正仿宋简体"/>
          <w:spacing w:val="-6"/>
        </w:rPr>
        <w:t>示三日无异议后下月信用分正式生效使用。平台公司指城投、资投、旅投、</w:t>
      </w:r>
      <w:r>
        <w:rPr>
          <w:rFonts w:hint="eastAsia" w:ascii="方正仿宋简体" w:hAnsi="方正仿宋简体" w:eastAsia="方正仿宋简体" w:cs="方正仿宋简体"/>
          <w:spacing w:val="-4"/>
        </w:rPr>
        <w:t>交投等，所有通报表彰和批评以正式文件为准。</w:t>
      </w:r>
    </w:p>
    <w:p>
      <w:pPr>
        <w:spacing w:before="4" w:line="400" w:lineRule="exact"/>
        <w:ind w:right="376" w:firstLine="420" w:firstLineChars="200"/>
        <w:textAlignment w:val="baseline"/>
        <w:rPr>
          <w:rFonts w:ascii="方正仿宋简体" w:hAnsi="方正仿宋简体" w:eastAsia="方正仿宋简体" w:cs="方正仿宋简体"/>
          <w:sz w:val="20"/>
          <w:szCs w:val="20"/>
        </w:rPr>
      </w:pPr>
      <w:r>
        <w:rPr>
          <w:rFonts w:hint="eastAsia" w:ascii="方正仿宋简体" w:hAnsi="方正仿宋简体" w:eastAsia="方正仿宋简体" w:cs="方正仿宋简体"/>
        </w:rPr>
        <w:t>2.</w:t>
      </w:r>
      <w:r>
        <w:rPr>
          <w:rFonts w:hint="eastAsia" w:ascii="方正仿宋简体" w:hAnsi="方正仿宋简体" w:eastAsia="方正仿宋简体" w:cs="方正仿宋简体"/>
          <w:spacing w:val="-3"/>
        </w:rPr>
        <w:t>项目负责人不再具备执业资格的或者因身体原因</w:t>
      </w:r>
      <w:r>
        <w:rPr>
          <w:rFonts w:hint="eastAsia" w:ascii="方正仿宋简体" w:hAnsi="方正仿宋简体" w:eastAsia="方正仿宋简体" w:cs="方正仿宋简体"/>
        </w:rPr>
        <w:t>（</w:t>
      </w:r>
      <w:r>
        <w:rPr>
          <w:rFonts w:hint="eastAsia" w:ascii="方正仿宋简体" w:hAnsi="方正仿宋简体" w:eastAsia="方正仿宋简体" w:cs="方正仿宋简体"/>
          <w:spacing w:val="-3"/>
        </w:rPr>
        <w:t>需提供市级及以上医院出具的相关证明</w:t>
      </w:r>
      <w:r>
        <w:rPr>
          <w:rFonts w:hint="eastAsia" w:ascii="方正仿宋简体" w:hAnsi="方正仿宋简体" w:eastAsia="方正仿宋简体" w:cs="方正仿宋简体"/>
          <w:spacing w:val="-17"/>
        </w:rPr>
        <w:t>）</w:t>
      </w:r>
      <w:r>
        <w:rPr>
          <w:rFonts w:hint="eastAsia" w:ascii="方正仿宋简体" w:hAnsi="方正仿宋简体" w:eastAsia="方正仿宋简体" w:cs="方正仿宋简体"/>
          <w:spacing w:val="-5"/>
        </w:rPr>
        <w:t>无法继续担任项目负责人的情况下，经建设单位同意后更换项目负责人的可免于扣分；因身体原因被更换的项目经理，在更换后六个月内又参加招投标活动的，扣</w:t>
      </w:r>
      <w:r>
        <w:rPr>
          <w:rFonts w:hint="eastAsia" w:ascii="方正仿宋简体" w:hAnsi="方正仿宋简体" w:eastAsia="方正仿宋简体" w:cs="方正仿宋简体"/>
        </w:rPr>
        <w:t>0.3</w:t>
      </w:r>
      <w:r>
        <w:rPr>
          <w:rFonts w:hint="eastAsia" w:ascii="方正仿宋简体" w:hAnsi="方正仿宋简体" w:eastAsia="方正仿宋简体" w:cs="方正仿宋简体"/>
          <w:spacing w:val="-3"/>
        </w:rPr>
        <w:t>分。</w:t>
      </w:r>
    </w:p>
    <w:bookmarkEnd w:id="0"/>
    <w:p>
      <w:pPr>
        <w:spacing w:line="400" w:lineRule="exact"/>
        <w:textAlignment w:val="baseline"/>
        <w:rPr>
          <w:rFonts w:ascii="方正仿宋简体" w:hAnsi="方正仿宋简体" w:eastAsia="方正仿宋简体" w:cs="方正仿宋简体"/>
          <w:sz w:val="13"/>
          <w:szCs w:val="13"/>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方正仿宋简体">
    <w:altName w:val="Arial Unicode MS"/>
    <w:panose1 w:val="00000000000000000000"/>
    <w:charset w:val="86"/>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21A00"/>
    <w:rsid w:val="000C0916"/>
    <w:rsid w:val="001E2AB3"/>
    <w:rsid w:val="002515EE"/>
    <w:rsid w:val="002E56D6"/>
    <w:rsid w:val="005405EB"/>
    <w:rsid w:val="005D13B3"/>
    <w:rsid w:val="006D535F"/>
    <w:rsid w:val="00714FAE"/>
    <w:rsid w:val="00742AA6"/>
    <w:rsid w:val="007A1533"/>
    <w:rsid w:val="007B1173"/>
    <w:rsid w:val="00821A00"/>
    <w:rsid w:val="00931233"/>
    <w:rsid w:val="00A128C8"/>
    <w:rsid w:val="00A74028"/>
    <w:rsid w:val="00AD0B6F"/>
    <w:rsid w:val="00AE22E0"/>
    <w:rsid w:val="00D836DD"/>
    <w:rsid w:val="05E47024"/>
    <w:rsid w:val="07F15703"/>
    <w:rsid w:val="0BD00F76"/>
    <w:rsid w:val="28FC5237"/>
    <w:rsid w:val="30050A60"/>
    <w:rsid w:val="41C259C1"/>
    <w:rsid w:val="41E947C3"/>
    <w:rsid w:val="4E9D2B9D"/>
    <w:rsid w:val="63706438"/>
    <w:rsid w:val="64C054F0"/>
    <w:rsid w:val="6BF522D1"/>
    <w:rsid w:val="7760295C"/>
    <w:rsid w:val="7D5D79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1"/>
    <w:rPr>
      <w:rFonts w:ascii="宋体" w:hAnsi="宋体" w:cs="宋体"/>
      <w:sz w:val="32"/>
      <w:szCs w:val="32"/>
      <w:lang w:val="zh-CN" w:bidi="zh-CN"/>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paragraph" w:customStyle="1" w:styleId="9">
    <w:name w:val="Table Paragraph"/>
    <w:basedOn w:val="1"/>
    <w:qFormat/>
    <w:uiPriority w:val="1"/>
    <w:rPr>
      <w:rFonts w:ascii="宋体" w:hAnsi="宋体" w:cs="宋体"/>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3</Pages>
  <Words>1775</Words>
  <Characters>1881</Characters>
  <Lines>14</Lines>
  <Paragraphs>3</Paragraphs>
  <TotalTime>11</TotalTime>
  <ScaleCrop>false</ScaleCrop>
  <LinksUpToDate>false</LinksUpToDate>
  <CharactersWithSpaces>1889</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2021-12-07T05:36:00Z</dcterms:created>
  <dc:creator>(招标办）梁永洁</dc:creator>
  <cp:lastModifiedBy>尐饭团^ǒ^</cp:lastModifiedBy>
  <dcterms:modified xsi:type="dcterms:W3CDTF">2022-04-08T06:01:23Z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B90345F655614528ADC0A3D76780742B</vt:lpwstr>
  </property>
</Properties>
</file>