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0171D5C">
      <w:pPr>
        <w:adjustRightInd w:val="0"/>
        <w:snapToGrid w:val="0"/>
        <w:ind w:firstLine="0" w:firstLineChars="0"/>
        <w:jc w:val="center"/>
        <w:rPr>
          <w:rFonts w:hint="eastAsia" w:ascii="仿宋" w:hAnsi="仿宋" w:eastAsia="仿宋" w:cs="仿宋"/>
          <w:b/>
          <w:bCs/>
          <w:lang w:bidi="ar"/>
        </w:rPr>
      </w:pPr>
      <w:r>
        <w:rPr>
          <w:rFonts w:hint="eastAsia" w:ascii="仿宋" w:hAnsi="仿宋" w:eastAsia="仿宋" w:cs="仿宋"/>
          <w:b/>
          <w:bCs/>
        </w:rPr>
        <w:t>德邻联合工程有限公司关于杭氧集团股份有限公司100MW全钒液流电池自动化电堆装配产线采购项目的更正公告</w:t>
      </w:r>
    </w:p>
    <w:p w14:paraId="31CE0393">
      <w:pPr>
        <w:adjustRightInd w:val="0"/>
        <w:snapToGrid w:val="0"/>
        <w:spacing w:line="324" w:lineRule="auto"/>
        <w:ind w:firstLine="0" w:firstLineChars="0"/>
        <w:rPr>
          <w:rFonts w:hint="eastAsia" w:ascii="仿宋" w:hAnsi="仿宋" w:eastAsia="仿宋" w:cs="仿宋"/>
          <w:b/>
          <w:sz w:val="21"/>
          <w:szCs w:val="21"/>
        </w:rPr>
      </w:pPr>
      <w:bookmarkStart w:id="0" w:name="OLE_LINK3"/>
      <w:r>
        <w:rPr>
          <w:rFonts w:hint="eastAsia" w:ascii="仿宋" w:hAnsi="仿宋" w:eastAsia="仿宋" w:cs="仿宋"/>
          <w:b/>
          <w:sz w:val="21"/>
          <w:szCs w:val="21"/>
        </w:rPr>
        <w:t>一、更正人名称：</w:t>
      </w:r>
      <w:r>
        <w:rPr>
          <w:rFonts w:hint="eastAsia" w:ascii="仿宋" w:hAnsi="仿宋" w:eastAsia="仿宋" w:cs="仿宋"/>
          <w:bCs/>
          <w:sz w:val="21"/>
          <w:szCs w:val="21"/>
        </w:rPr>
        <w:t>德邻联合工程有限公司</w:t>
      </w:r>
    </w:p>
    <w:p w14:paraId="476BFE3C">
      <w:pPr>
        <w:adjustRightInd w:val="0"/>
        <w:snapToGrid w:val="0"/>
        <w:spacing w:line="324" w:lineRule="auto"/>
        <w:ind w:firstLine="0" w:firstLineChars="0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二、项目名称：</w:t>
      </w:r>
      <w:r>
        <w:rPr>
          <w:rFonts w:hint="eastAsia" w:ascii="仿宋" w:hAnsi="仿宋" w:eastAsia="仿宋" w:cs="仿宋"/>
          <w:sz w:val="21"/>
          <w:szCs w:val="21"/>
        </w:rPr>
        <w:t>杭氧集团股份有限公司100MW全钒液流电池自动化电堆装配产线采购项目</w:t>
      </w:r>
    </w:p>
    <w:p w14:paraId="150529DA">
      <w:pPr>
        <w:adjustRightInd w:val="0"/>
        <w:snapToGrid w:val="0"/>
        <w:spacing w:line="324" w:lineRule="auto"/>
        <w:ind w:firstLine="0" w:firstLineChars="0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三、项目编号：</w:t>
      </w:r>
      <w:r>
        <w:rPr>
          <w:rFonts w:hint="eastAsia" w:ascii="仿宋" w:hAnsi="仿宋" w:eastAsia="仿宋" w:cs="仿宋"/>
          <w:sz w:val="21"/>
          <w:szCs w:val="21"/>
        </w:rPr>
        <w:t>HYJTjh2025GKZB043</w:t>
      </w:r>
    </w:p>
    <w:p w14:paraId="022352D0">
      <w:pPr>
        <w:adjustRightInd w:val="0"/>
        <w:snapToGrid w:val="0"/>
        <w:spacing w:line="324" w:lineRule="auto"/>
        <w:ind w:firstLine="0" w:firstLineChars="0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四、原采购公告发布日期：</w:t>
      </w:r>
      <w:r>
        <w:rPr>
          <w:rFonts w:hint="eastAsia" w:ascii="仿宋" w:hAnsi="仿宋" w:eastAsia="仿宋" w:cs="仿宋"/>
          <w:bCs/>
          <w:sz w:val="21"/>
          <w:szCs w:val="21"/>
        </w:rPr>
        <w:t>2025-12-19</w:t>
      </w:r>
    </w:p>
    <w:p w14:paraId="202C9509">
      <w:pPr>
        <w:adjustRightInd w:val="0"/>
        <w:snapToGrid w:val="0"/>
        <w:spacing w:line="324" w:lineRule="auto"/>
        <w:ind w:firstLine="0" w:firstLineChars="0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五、更正内容：</w:t>
      </w:r>
    </w:p>
    <w:tbl>
      <w:tblPr>
        <w:tblStyle w:val="14"/>
        <w:tblW w:w="110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851"/>
        <w:gridCol w:w="4733"/>
        <w:gridCol w:w="4758"/>
      </w:tblGrid>
      <w:tr w14:paraId="53803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704" w:type="dxa"/>
            <w:vAlign w:val="center"/>
          </w:tcPr>
          <w:p w14:paraId="695E38D6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851" w:type="dxa"/>
            <w:vAlign w:val="center"/>
          </w:tcPr>
          <w:p w14:paraId="5EB74DEB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更正项</w:t>
            </w:r>
          </w:p>
        </w:tc>
        <w:tc>
          <w:tcPr>
            <w:tcW w:w="4733" w:type="dxa"/>
            <w:vAlign w:val="center"/>
          </w:tcPr>
          <w:p w14:paraId="39352AF4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更正前内容</w:t>
            </w:r>
          </w:p>
        </w:tc>
        <w:tc>
          <w:tcPr>
            <w:tcW w:w="4758" w:type="dxa"/>
            <w:vAlign w:val="center"/>
          </w:tcPr>
          <w:p w14:paraId="47BDB2C6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更正后内容</w:t>
            </w:r>
          </w:p>
        </w:tc>
      </w:tr>
      <w:tr w14:paraId="4C35B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704" w:type="dxa"/>
            <w:vAlign w:val="center"/>
          </w:tcPr>
          <w:p w14:paraId="77F78743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14:paraId="6E0D0308">
            <w:pPr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P27</w:t>
            </w:r>
          </w:p>
        </w:tc>
        <w:tc>
          <w:tcPr>
            <w:tcW w:w="4733" w:type="dxa"/>
            <w:vAlign w:val="center"/>
          </w:tcPr>
          <w:p w14:paraId="043A471E">
            <w:pPr>
              <w:spacing w:line="240" w:lineRule="auto"/>
              <w:ind w:firstLine="0" w:firstLineChars="0"/>
              <w:jc w:val="both"/>
              <w:rPr>
                <w:rFonts w:eastAsia="仿宋"/>
                <w:sz w:val="21"/>
                <w:szCs w:val="21"/>
              </w:rPr>
            </w:pPr>
            <w:r>
              <w:rPr>
                <w:rFonts w:ascii="Segoe UI Symbol" w:hAnsi="Segoe UI Symbol" w:eastAsia="仿宋" w:cs="Segoe UI Symbol"/>
                <w:sz w:val="21"/>
                <w:szCs w:val="21"/>
              </w:rPr>
              <w:t>★</w:t>
            </w:r>
            <w:r>
              <w:rPr>
                <w:rFonts w:eastAsia="仿宋"/>
                <w:sz w:val="21"/>
                <w:szCs w:val="21"/>
              </w:rPr>
              <w:t>5.11.1本装配线采用分布式控制系统，其中输送线的主控PLC采用S7-1500系列PLC，保证系统的高度协调和高效运作；</w:t>
            </w:r>
          </w:p>
        </w:tc>
        <w:tc>
          <w:tcPr>
            <w:tcW w:w="4758" w:type="dxa"/>
            <w:vAlign w:val="center"/>
          </w:tcPr>
          <w:p w14:paraId="4AC6EB17">
            <w:pPr>
              <w:spacing w:line="240" w:lineRule="auto"/>
              <w:ind w:firstLine="0" w:firstLineChars="0"/>
              <w:jc w:val="both"/>
              <w:rPr>
                <w:rFonts w:eastAsia="仿宋"/>
                <w:sz w:val="21"/>
                <w:szCs w:val="21"/>
              </w:rPr>
            </w:pPr>
            <w:r>
              <w:rPr>
                <w:rFonts w:ascii="Segoe UI Symbol" w:hAnsi="Segoe UI Symbol" w:eastAsia="仿宋" w:cs="Segoe UI Symbol"/>
                <w:sz w:val="21"/>
                <w:szCs w:val="21"/>
              </w:rPr>
              <w:t>★</w:t>
            </w:r>
            <w:r>
              <w:rPr>
                <w:rFonts w:eastAsia="仿宋"/>
                <w:sz w:val="21"/>
                <w:szCs w:val="21"/>
              </w:rPr>
              <w:t>5.11.1本装配线采用分布式控制系统，其中输送线的主控PLC采用西门子、AB、倍福或相当于品牌的PLC，保证系统的高度协调和高效运作；</w:t>
            </w:r>
          </w:p>
        </w:tc>
      </w:tr>
      <w:tr w14:paraId="7A3B8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704" w:type="dxa"/>
            <w:vAlign w:val="center"/>
          </w:tcPr>
          <w:p w14:paraId="44A46FED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2</w:t>
            </w:r>
          </w:p>
        </w:tc>
        <w:tc>
          <w:tcPr>
            <w:tcW w:w="851" w:type="dxa"/>
            <w:vAlign w:val="center"/>
          </w:tcPr>
          <w:p w14:paraId="7366BCFF">
            <w:pPr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P28</w:t>
            </w:r>
          </w:p>
        </w:tc>
        <w:tc>
          <w:tcPr>
            <w:tcW w:w="4733" w:type="dxa"/>
            <w:vAlign w:val="center"/>
          </w:tcPr>
          <w:p w14:paraId="476D840A">
            <w:pPr>
              <w:spacing w:line="240" w:lineRule="auto"/>
              <w:ind w:firstLine="0" w:firstLineChars="0"/>
              <w:jc w:val="both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5.12.3 在机器人自动堆叠模块，对堆叠的电极、离子膜、板框组件零件进行批次录入，记录电</w:t>
            </w:r>
          </w:p>
        </w:tc>
        <w:tc>
          <w:tcPr>
            <w:tcW w:w="4758" w:type="dxa"/>
            <w:vAlign w:val="center"/>
          </w:tcPr>
          <w:p w14:paraId="4F6F41C8"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5.12.3 在机器人自动堆叠模块，对堆叠的电极、离子膜、板框组件零件进行批次录入，记录电堆堆叠层数；</w:t>
            </w:r>
          </w:p>
        </w:tc>
      </w:tr>
      <w:tr w14:paraId="0B282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704" w:type="dxa"/>
            <w:vAlign w:val="center"/>
          </w:tcPr>
          <w:p w14:paraId="57C92EEF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3</w:t>
            </w:r>
          </w:p>
        </w:tc>
        <w:tc>
          <w:tcPr>
            <w:tcW w:w="851" w:type="dxa"/>
            <w:vAlign w:val="center"/>
          </w:tcPr>
          <w:p w14:paraId="5C1A6768">
            <w:pPr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P30</w:t>
            </w:r>
          </w:p>
        </w:tc>
        <w:tc>
          <w:tcPr>
            <w:tcW w:w="4733" w:type="dxa"/>
            <w:vAlign w:val="center"/>
          </w:tcPr>
          <w:p w14:paraId="7BFDDFC9">
            <w:pPr>
              <w:spacing w:line="240" w:lineRule="auto"/>
              <w:ind w:firstLine="0" w:firstLineChars="0"/>
              <w:jc w:val="both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压堆拧紧模块，可实现电堆的自动压紧，弹簧、螺母、压盖自动上料与自动拧紧、拧紧数据的本地保存（预留与MES的数据对接功能）、压力与拧紧力可调节。设备具备可靠性高、精度高、维护方便、效率快等功能，</w:t>
            </w:r>
          </w:p>
        </w:tc>
        <w:tc>
          <w:tcPr>
            <w:tcW w:w="4758" w:type="dxa"/>
            <w:vAlign w:val="center"/>
          </w:tcPr>
          <w:p w14:paraId="557F2E82">
            <w:pPr>
              <w:spacing w:line="240" w:lineRule="auto"/>
              <w:ind w:firstLine="0" w:firstLineChars="0"/>
              <w:jc w:val="both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压堆拧紧模块，可实现电堆的自动压紧与拧紧，拧紧数据本地保存（预留与MES的数据对接功能）、压力与拧紧力可调节。设备具备可靠性高、精度高、维护方便、效率快等功能，拧紧过程中需避免端板漆面的损坏。</w:t>
            </w:r>
          </w:p>
        </w:tc>
      </w:tr>
      <w:tr w14:paraId="265A0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704" w:type="dxa"/>
            <w:vAlign w:val="center"/>
          </w:tcPr>
          <w:p w14:paraId="1D903692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4</w:t>
            </w:r>
          </w:p>
        </w:tc>
        <w:tc>
          <w:tcPr>
            <w:tcW w:w="851" w:type="dxa"/>
            <w:vAlign w:val="center"/>
          </w:tcPr>
          <w:p w14:paraId="408A39DC">
            <w:pPr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P33</w:t>
            </w:r>
          </w:p>
        </w:tc>
        <w:tc>
          <w:tcPr>
            <w:tcW w:w="4733" w:type="dxa"/>
            <w:vAlign w:val="center"/>
          </w:tcPr>
          <w:p w14:paraId="11DA76F4"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10.6.21 为了确保物料转运的效率和准确性，优先考虑使用AGV进行物料的转运（本项目含AGV），同时支持人工转运；</w:t>
            </w:r>
          </w:p>
        </w:tc>
        <w:tc>
          <w:tcPr>
            <w:tcW w:w="4758" w:type="dxa"/>
            <w:vAlign w:val="center"/>
          </w:tcPr>
          <w:p w14:paraId="051233CE"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10.6.21 为了确保物料转运的效率和准确性，优先考虑使用AGV进行物料的转运（本项目不含AGV），同时支持人工转运；</w:t>
            </w:r>
          </w:p>
        </w:tc>
      </w:tr>
      <w:tr w14:paraId="7F07E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704" w:type="dxa"/>
            <w:vAlign w:val="center"/>
          </w:tcPr>
          <w:p w14:paraId="678D1A9F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5</w:t>
            </w:r>
          </w:p>
        </w:tc>
        <w:tc>
          <w:tcPr>
            <w:tcW w:w="851" w:type="dxa"/>
            <w:vAlign w:val="center"/>
          </w:tcPr>
          <w:p w14:paraId="2B43460A">
            <w:pPr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P38</w:t>
            </w:r>
          </w:p>
        </w:tc>
        <w:tc>
          <w:tcPr>
            <w:tcW w:w="4733" w:type="dxa"/>
            <w:vAlign w:val="center"/>
          </w:tcPr>
          <w:p w14:paraId="4EE2C646"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HIWI</w:t>
            </w:r>
          </w:p>
        </w:tc>
        <w:tc>
          <w:tcPr>
            <w:tcW w:w="4758" w:type="dxa"/>
            <w:vAlign w:val="center"/>
          </w:tcPr>
          <w:p w14:paraId="6CDD40B2">
            <w:pPr>
              <w:spacing w:line="240" w:lineRule="auto"/>
              <w:ind w:firstLine="0" w:firstLineChars="0"/>
              <w:jc w:val="both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HIWIN</w:t>
            </w:r>
          </w:p>
        </w:tc>
      </w:tr>
      <w:tr w14:paraId="32D1A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704" w:type="dxa"/>
            <w:vAlign w:val="center"/>
          </w:tcPr>
          <w:p w14:paraId="6C67A5CB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6</w:t>
            </w:r>
          </w:p>
        </w:tc>
        <w:tc>
          <w:tcPr>
            <w:tcW w:w="851" w:type="dxa"/>
            <w:vAlign w:val="center"/>
          </w:tcPr>
          <w:p w14:paraId="5F504186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P39</w:t>
            </w:r>
          </w:p>
        </w:tc>
        <w:tc>
          <w:tcPr>
            <w:tcW w:w="4733" w:type="dxa"/>
            <w:vAlign w:val="center"/>
          </w:tcPr>
          <w:p w14:paraId="24EE975C"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eastAsia="仿宋"/>
                <w:sz w:val="21"/>
                <w:szCs w:val="21"/>
              </w:rPr>
            </w:pPr>
            <w:r>
              <w:rPr>
                <w:rFonts w:eastAsia="仿宋"/>
                <w:sz w:val="21"/>
                <w:szCs w:val="21"/>
              </w:rPr>
              <w:t>新增</w:t>
            </w:r>
          </w:p>
        </w:tc>
        <w:tc>
          <w:tcPr>
            <w:tcW w:w="4758" w:type="dxa"/>
            <w:vAlign w:val="center"/>
          </w:tcPr>
          <w:p w14:paraId="70316A8D"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eastAsia="仿宋"/>
                <w:sz w:val="21"/>
                <w:szCs w:val="21"/>
                <w:lang w:val="en-US" w:eastAsia="zh-CN"/>
              </w:rPr>
            </w:pPr>
            <w:r>
              <w:rPr>
                <w:rFonts w:eastAsia="仿宋"/>
                <w:sz w:val="21"/>
                <w:szCs w:val="21"/>
              </w:rPr>
              <w:t>11.6 提供产线易损件和备品备件清单，并在投标文件</w:t>
            </w:r>
            <w:r>
              <w:rPr>
                <w:rFonts w:hint="eastAsia" w:eastAsia="仿宋"/>
                <w:sz w:val="21"/>
                <w:szCs w:val="21"/>
                <w:lang w:eastAsia="zh-CN"/>
              </w:rPr>
              <w:t>（</w:t>
            </w:r>
            <w:r>
              <w:rPr>
                <w:rFonts w:hint="eastAsia" w:eastAsia="仿宋"/>
                <w:sz w:val="21"/>
                <w:szCs w:val="21"/>
                <w:lang w:val="en-US" w:eastAsia="zh-CN"/>
              </w:rPr>
              <w:t>报价文件</w:t>
            </w:r>
            <w:r>
              <w:rPr>
                <w:rFonts w:hint="eastAsia" w:eastAsia="仿宋"/>
                <w:sz w:val="21"/>
                <w:szCs w:val="21"/>
                <w:lang w:eastAsia="zh-CN"/>
              </w:rPr>
              <w:t>）</w:t>
            </w:r>
            <w:r>
              <w:rPr>
                <w:rFonts w:eastAsia="仿宋"/>
                <w:sz w:val="21"/>
                <w:szCs w:val="21"/>
              </w:rPr>
              <w:t>中体现明确的分项报价。</w:t>
            </w:r>
          </w:p>
        </w:tc>
      </w:tr>
      <w:tr w14:paraId="2C1A1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704" w:type="dxa"/>
            <w:vAlign w:val="center"/>
          </w:tcPr>
          <w:p w14:paraId="6B6991F1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 w:eastAsia="仿宋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851" w:type="dxa"/>
            <w:vAlign w:val="center"/>
          </w:tcPr>
          <w:p w14:paraId="4841053D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 w:eastAsia="仿宋"/>
                <w:sz w:val="21"/>
                <w:szCs w:val="21"/>
                <w:lang w:val="en-US" w:eastAsia="zh-CN"/>
              </w:rPr>
              <w:t>投标文件格式</w:t>
            </w:r>
          </w:p>
        </w:tc>
        <w:tc>
          <w:tcPr>
            <w:tcW w:w="4733" w:type="dxa"/>
            <w:vAlign w:val="center"/>
          </w:tcPr>
          <w:p w14:paraId="2F3A022D"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 w:eastAsia="仿宋"/>
                <w:sz w:val="21"/>
                <w:szCs w:val="21"/>
                <w:lang w:val="en-US" w:eastAsia="zh-CN"/>
              </w:rPr>
              <w:t>新增</w:t>
            </w:r>
            <w:bookmarkStart w:id="1" w:name="_GoBack"/>
            <w:bookmarkEnd w:id="1"/>
          </w:p>
        </w:tc>
        <w:tc>
          <w:tcPr>
            <w:tcW w:w="4758" w:type="dxa"/>
            <w:vAlign w:val="center"/>
          </w:tcPr>
          <w:p w14:paraId="795247B5"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eastAsia="仿宋"/>
                <w:sz w:val="21"/>
                <w:szCs w:val="21"/>
              </w:rPr>
            </w:pPr>
            <w:r>
              <w:rPr>
                <w:rFonts w:hint="eastAsia" w:eastAsia="仿宋"/>
                <w:sz w:val="21"/>
                <w:szCs w:val="21"/>
                <w:lang w:val="en-US" w:eastAsia="zh-CN"/>
              </w:rPr>
              <w:t>报价文件中报价一览表后和最终报价一览表后格式自拟</w:t>
            </w:r>
          </w:p>
        </w:tc>
      </w:tr>
    </w:tbl>
    <w:p w14:paraId="6A9B9CA6">
      <w:pPr>
        <w:adjustRightInd w:val="0"/>
        <w:snapToGrid w:val="0"/>
        <w:spacing w:line="324" w:lineRule="auto"/>
        <w:ind w:firstLine="0" w:firstLineChars="0"/>
        <w:rPr>
          <w:rFonts w:hint="eastAsia" w:ascii="仿宋" w:hAnsi="仿宋" w:eastAsia="仿宋" w:cs="仿宋"/>
          <w:b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六、</w:t>
      </w:r>
      <w:r>
        <w:rPr>
          <w:rFonts w:hint="eastAsia" w:ascii="仿宋" w:hAnsi="仿宋" w:eastAsia="仿宋" w:cs="仿宋"/>
          <w:b/>
          <w:color w:val="000000"/>
          <w:sz w:val="21"/>
          <w:szCs w:val="21"/>
        </w:rPr>
        <w:t>其他事项：</w:t>
      </w:r>
    </w:p>
    <w:p w14:paraId="6ED56A69">
      <w:pPr>
        <w:adjustRightInd w:val="0"/>
        <w:snapToGrid w:val="0"/>
        <w:spacing w:line="324" w:lineRule="auto"/>
        <w:ind w:firstLine="420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其余均不变。</w:t>
      </w:r>
    </w:p>
    <w:p w14:paraId="0C6043BF">
      <w:pPr>
        <w:adjustRightInd w:val="0"/>
        <w:snapToGrid w:val="0"/>
        <w:spacing w:line="324" w:lineRule="auto"/>
        <w:ind w:firstLine="0" w:firstLineChars="0"/>
        <w:rPr>
          <w:rFonts w:hint="eastAsia" w:ascii="仿宋" w:hAnsi="仿宋" w:eastAsia="仿宋" w:cs="仿宋"/>
          <w:b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b/>
          <w:color w:val="000000"/>
          <w:sz w:val="21"/>
          <w:szCs w:val="21"/>
        </w:rPr>
        <w:t>七、联系方式：</w:t>
      </w:r>
    </w:p>
    <w:bookmarkEnd w:id="0"/>
    <w:p w14:paraId="6413A4C4">
      <w:pPr>
        <w:spacing w:line="312" w:lineRule="auto"/>
        <w:ind w:firstLine="422"/>
        <w:rPr>
          <w:rFonts w:hint="eastAsia" w:ascii="仿宋" w:hAnsi="仿宋" w:eastAsia="仿宋" w:cs="仿宋"/>
          <w:b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b/>
          <w:color w:val="000000"/>
          <w:sz w:val="21"/>
          <w:szCs w:val="21"/>
        </w:rPr>
        <w:t>1、招标人：</w:t>
      </w:r>
      <w:r>
        <w:rPr>
          <w:rFonts w:hint="eastAsia" w:ascii="仿宋" w:hAnsi="仿宋" w:eastAsia="仿宋" w:cs="仿宋"/>
          <w:sz w:val="21"/>
          <w:szCs w:val="21"/>
        </w:rPr>
        <w:t>杭氧集团股份有限公司</w:t>
      </w:r>
    </w:p>
    <w:p w14:paraId="60A4DDC0">
      <w:pPr>
        <w:spacing w:line="312" w:lineRule="auto"/>
        <w:ind w:firstLine="420"/>
        <w:rPr>
          <w:rFonts w:hint="eastAsia" w:ascii="仿宋" w:hAnsi="仿宋" w:eastAsia="仿宋" w:cs="仿宋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联 系 人：</w:t>
      </w:r>
      <w:r>
        <w:rPr>
          <w:rFonts w:hint="eastAsia" w:ascii="仿宋" w:hAnsi="仿宋" w:eastAsia="仿宋" w:cs="仿宋"/>
          <w:sz w:val="21"/>
          <w:szCs w:val="21"/>
        </w:rPr>
        <w:t>陈雨庭</w:t>
      </w:r>
    </w:p>
    <w:p w14:paraId="2FDBF3D4">
      <w:pPr>
        <w:spacing w:line="312" w:lineRule="auto"/>
        <w:ind w:firstLine="420"/>
        <w:rPr>
          <w:rFonts w:hint="eastAsia" w:ascii="仿宋" w:hAnsi="仿宋" w:eastAsia="仿宋" w:cs="仿宋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联系电话：15382336237</w:t>
      </w:r>
    </w:p>
    <w:p w14:paraId="2425E721">
      <w:pPr>
        <w:spacing w:line="312" w:lineRule="auto"/>
        <w:ind w:firstLine="420"/>
        <w:rPr>
          <w:rFonts w:hint="eastAsia" w:ascii="仿宋" w:hAnsi="仿宋" w:eastAsia="仿宋" w:cs="仿宋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地    址：</w:t>
      </w:r>
      <w:r>
        <w:rPr>
          <w:rFonts w:hint="eastAsia" w:ascii="仿宋" w:hAnsi="仿宋" w:eastAsia="仿宋" w:cs="仿宋"/>
          <w:sz w:val="21"/>
          <w:szCs w:val="21"/>
        </w:rPr>
        <w:t>浙江省杭州市临安区青山湖街道相府路799号</w:t>
      </w:r>
    </w:p>
    <w:p w14:paraId="5D20B208">
      <w:pPr>
        <w:spacing w:line="312" w:lineRule="auto"/>
        <w:ind w:firstLine="422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2、招标代理机构：德邻联合工程有限公司</w:t>
      </w:r>
    </w:p>
    <w:p w14:paraId="4A5ABCF7">
      <w:pPr>
        <w:spacing w:line="312" w:lineRule="auto"/>
        <w:ind w:firstLine="420"/>
        <w:rPr>
          <w:rFonts w:hint="eastAsia" w:ascii="仿宋" w:hAnsi="仿宋" w:eastAsia="仿宋" w:cs="仿宋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联 系 人：所璐</w:t>
      </w:r>
    </w:p>
    <w:p w14:paraId="16102454">
      <w:pPr>
        <w:spacing w:line="312" w:lineRule="auto"/>
        <w:ind w:firstLine="420"/>
        <w:rPr>
          <w:rFonts w:hint="eastAsia" w:ascii="仿宋" w:hAnsi="仿宋" w:eastAsia="仿宋" w:cs="仿宋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联系电话：0571-88858999、18967106719</w:t>
      </w:r>
    </w:p>
    <w:p w14:paraId="044E60C5">
      <w:pPr>
        <w:adjustRightInd w:val="0"/>
        <w:snapToGrid w:val="0"/>
        <w:spacing w:line="324" w:lineRule="auto"/>
        <w:ind w:firstLine="420"/>
        <w:rPr>
          <w:rFonts w:hint="eastAsia" w:ascii="仿宋" w:hAnsi="仿宋" w:eastAsia="仿宋" w:cs="仿宋"/>
          <w:color w:val="000000"/>
          <w:sz w:val="21"/>
          <w:szCs w:val="21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地   址：</w:t>
      </w:r>
      <w:r>
        <w:rPr>
          <w:rFonts w:hint="eastAsia" w:ascii="仿宋" w:hAnsi="仿宋" w:eastAsia="仿宋" w:cs="仿宋"/>
          <w:sz w:val="21"/>
          <w:szCs w:val="21"/>
        </w:rPr>
        <w:t>杭州市萧山区钱江世纪城保亿中心A幢10楼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134" w:bottom="1134" w:left="1134" w:header="851" w:footer="992" w:gutter="0"/>
      <w:cols w:space="720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16D0F8">
    <w:pPr>
      <w:pStyle w:val="8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D7B3E1">
    <w:pPr>
      <w:pStyle w:val="8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B46448">
    <w:pPr>
      <w:pStyle w:val="8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FE77BF">
    <w:pPr>
      <w:pStyle w:val="9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8A63CE">
    <w:pPr>
      <w:pStyle w:val="9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C52CC9">
    <w:pPr>
      <w:pStyle w:val="9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20"/>
  <w:drawingGridVerticalSpacing w:val="163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djY2VjMmZkMDFlMDE2ZGVmZWI2MzI4YTU2NzgxMGMifQ=="/>
  </w:docVars>
  <w:rsids>
    <w:rsidRoot w:val="00141D89"/>
    <w:rsid w:val="0003350C"/>
    <w:rsid w:val="0004157A"/>
    <w:rsid w:val="00043E55"/>
    <w:rsid w:val="00141D89"/>
    <w:rsid w:val="0018641F"/>
    <w:rsid w:val="001A409B"/>
    <w:rsid w:val="00206ACC"/>
    <w:rsid w:val="0024503C"/>
    <w:rsid w:val="003377B3"/>
    <w:rsid w:val="00361DC5"/>
    <w:rsid w:val="00372286"/>
    <w:rsid w:val="003B2C9D"/>
    <w:rsid w:val="003E73FA"/>
    <w:rsid w:val="004563B3"/>
    <w:rsid w:val="0046107F"/>
    <w:rsid w:val="00472C2A"/>
    <w:rsid w:val="00521F91"/>
    <w:rsid w:val="006460F6"/>
    <w:rsid w:val="006A61A2"/>
    <w:rsid w:val="006A6AC3"/>
    <w:rsid w:val="006E466F"/>
    <w:rsid w:val="00743555"/>
    <w:rsid w:val="00785865"/>
    <w:rsid w:val="007E048C"/>
    <w:rsid w:val="00867B04"/>
    <w:rsid w:val="00890BFE"/>
    <w:rsid w:val="008D3285"/>
    <w:rsid w:val="009730CD"/>
    <w:rsid w:val="009E1654"/>
    <w:rsid w:val="009F023D"/>
    <w:rsid w:val="00A84F28"/>
    <w:rsid w:val="00AC5737"/>
    <w:rsid w:val="00B01A77"/>
    <w:rsid w:val="00B1611C"/>
    <w:rsid w:val="00B3288E"/>
    <w:rsid w:val="00B45C6B"/>
    <w:rsid w:val="00B770B8"/>
    <w:rsid w:val="00BD4191"/>
    <w:rsid w:val="00C43EC7"/>
    <w:rsid w:val="00C508EE"/>
    <w:rsid w:val="00C87C79"/>
    <w:rsid w:val="00CE16C2"/>
    <w:rsid w:val="00CE39D6"/>
    <w:rsid w:val="00CF3A3F"/>
    <w:rsid w:val="00D0722B"/>
    <w:rsid w:val="00D65DF8"/>
    <w:rsid w:val="00E04EDF"/>
    <w:rsid w:val="00E6518A"/>
    <w:rsid w:val="00F53C57"/>
    <w:rsid w:val="00F974CF"/>
    <w:rsid w:val="00FE1322"/>
    <w:rsid w:val="040236FD"/>
    <w:rsid w:val="05990135"/>
    <w:rsid w:val="0727665E"/>
    <w:rsid w:val="07F627C4"/>
    <w:rsid w:val="0B775B30"/>
    <w:rsid w:val="0D9D6283"/>
    <w:rsid w:val="10B579D2"/>
    <w:rsid w:val="148B636C"/>
    <w:rsid w:val="156C48E8"/>
    <w:rsid w:val="195C3428"/>
    <w:rsid w:val="1DDD039F"/>
    <w:rsid w:val="22E03834"/>
    <w:rsid w:val="2C737702"/>
    <w:rsid w:val="3091647C"/>
    <w:rsid w:val="32682196"/>
    <w:rsid w:val="32B75289"/>
    <w:rsid w:val="333E4D1C"/>
    <w:rsid w:val="337845C4"/>
    <w:rsid w:val="38B937BB"/>
    <w:rsid w:val="3BFA7D63"/>
    <w:rsid w:val="3C7B1BE9"/>
    <w:rsid w:val="439C73F0"/>
    <w:rsid w:val="489E750C"/>
    <w:rsid w:val="49FB5007"/>
    <w:rsid w:val="4AB76D85"/>
    <w:rsid w:val="4B6912D8"/>
    <w:rsid w:val="4BD20FCE"/>
    <w:rsid w:val="507959E1"/>
    <w:rsid w:val="509E3F1E"/>
    <w:rsid w:val="51E77E3E"/>
    <w:rsid w:val="521B6E40"/>
    <w:rsid w:val="522C2FD8"/>
    <w:rsid w:val="55335B5C"/>
    <w:rsid w:val="5E663406"/>
    <w:rsid w:val="60C54E0A"/>
    <w:rsid w:val="68184879"/>
    <w:rsid w:val="6D0D35A8"/>
    <w:rsid w:val="71390461"/>
    <w:rsid w:val="757169AC"/>
    <w:rsid w:val="79BF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iPriority="99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paragraph" w:styleId="2">
    <w:name w:val="heading 2"/>
    <w:basedOn w:val="1"/>
    <w:next w:val="1"/>
    <w:link w:val="2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qFormat/>
    <w:uiPriority w:val="0"/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Plain Text"/>
    <w:basedOn w:val="1"/>
    <w:link w:val="19"/>
    <w:qFormat/>
    <w:uiPriority w:val="0"/>
    <w:rPr>
      <w:rFonts w:ascii="宋体" w:hAnsi="Courier New" w:eastAsia="Times New Roman"/>
      <w:kern w:val="0"/>
      <w:sz w:val="18"/>
      <w:szCs w:val="20"/>
    </w:rPr>
  </w:style>
  <w:style w:type="paragraph" w:styleId="7">
    <w:name w:val="Balloon Text"/>
    <w:basedOn w:val="1"/>
    <w:link w:val="27"/>
    <w:qFormat/>
    <w:uiPriority w:val="0"/>
    <w:pPr>
      <w:spacing w:line="240" w:lineRule="auto"/>
    </w:pPr>
    <w:rPr>
      <w:sz w:val="18"/>
      <w:szCs w:val="18"/>
    </w:rPr>
  </w:style>
  <w:style w:type="paragraph" w:styleId="8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link w:val="2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99"/>
    <w:pPr>
      <w:spacing w:before="100" w:beforeAutospacing="1" w:after="100" w:afterAutospacing="1"/>
    </w:pPr>
    <w:rPr>
      <w:kern w:val="0"/>
    </w:rPr>
  </w:style>
  <w:style w:type="paragraph" w:styleId="11">
    <w:name w:val="annotation subject"/>
    <w:basedOn w:val="4"/>
    <w:next w:val="4"/>
    <w:link w:val="26"/>
    <w:qFormat/>
    <w:uiPriority w:val="0"/>
    <w:rPr>
      <w:b/>
      <w:bCs/>
    </w:rPr>
  </w:style>
  <w:style w:type="paragraph" w:styleId="12">
    <w:name w:val="Body Text First Indent"/>
    <w:basedOn w:val="5"/>
    <w:qFormat/>
    <w:uiPriority w:val="0"/>
    <w:pPr>
      <w:ind w:firstLine="420" w:firstLineChars="100"/>
    </w:pPr>
  </w:style>
  <w:style w:type="table" w:styleId="14">
    <w:name w:val="Table Grid"/>
    <w:basedOn w:val="13"/>
    <w:semiHidden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0"/>
    <w:rPr>
      <w:b/>
    </w:rPr>
  </w:style>
  <w:style w:type="character" w:styleId="17">
    <w:name w:val="annotation reference"/>
    <w:basedOn w:val="15"/>
    <w:qFormat/>
    <w:uiPriority w:val="0"/>
    <w:rPr>
      <w:sz w:val="21"/>
      <w:szCs w:val="21"/>
    </w:rPr>
  </w:style>
  <w:style w:type="character" w:styleId="18">
    <w:name w:val="HTML Sample"/>
    <w:unhideWhenUsed/>
    <w:qFormat/>
    <w:uiPriority w:val="99"/>
    <w:rPr>
      <w:rFonts w:ascii="宋体" w:hAnsi="宋体" w:eastAsia="宋体" w:cs="宋体"/>
    </w:rPr>
  </w:style>
  <w:style w:type="character" w:customStyle="1" w:styleId="19">
    <w:name w:val="纯文本 字符"/>
    <w:link w:val="6"/>
    <w:qFormat/>
    <w:uiPriority w:val="0"/>
    <w:rPr>
      <w:rFonts w:ascii="宋体" w:hAnsi="Courier New"/>
      <w:sz w:val="18"/>
      <w:lang w:bidi="ar-SA"/>
    </w:rPr>
  </w:style>
  <w:style w:type="character" w:customStyle="1" w:styleId="20">
    <w:name w:val="页眉 字符"/>
    <w:link w:val="9"/>
    <w:qFormat/>
    <w:uiPriority w:val="0"/>
    <w:rPr>
      <w:kern w:val="2"/>
      <w:sz w:val="18"/>
      <w:szCs w:val="18"/>
    </w:rPr>
  </w:style>
  <w:style w:type="character" w:customStyle="1" w:styleId="21">
    <w:name w:val="页脚 字符"/>
    <w:link w:val="8"/>
    <w:qFormat/>
    <w:uiPriority w:val="0"/>
    <w:rPr>
      <w:kern w:val="2"/>
      <w:sz w:val="18"/>
      <w:szCs w:val="18"/>
    </w:rPr>
  </w:style>
  <w:style w:type="character" w:customStyle="1" w:styleId="22">
    <w:name w:val="标题 2 字符"/>
    <w:link w:val="2"/>
    <w:semiHidden/>
    <w:qFormat/>
    <w:uiPriority w:val="0"/>
    <w:rPr>
      <w:rFonts w:ascii="等线 Light" w:hAnsi="等线 Light" w:eastAsia="等线 Light" w:cs="Times New Roman"/>
      <w:b/>
      <w:bCs/>
      <w:kern w:val="2"/>
      <w:sz w:val="32"/>
      <w:szCs w:val="32"/>
    </w:rPr>
  </w:style>
  <w:style w:type="paragraph" w:customStyle="1" w:styleId="23">
    <w:name w:val="表格字体"/>
    <w:basedOn w:val="1"/>
    <w:link w:val="24"/>
    <w:qFormat/>
    <w:uiPriority w:val="0"/>
    <w:pPr>
      <w:spacing w:line="240" w:lineRule="auto"/>
      <w:ind w:firstLine="0" w:firstLineChars="0"/>
      <w:jc w:val="center"/>
    </w:pPr>
    <w:rPr>
      <w:rFonts w:ascii="宋体" w:hAnsi="Calibri"/>
      <w:szCs w:val="22"/>
    </w:rPr>
  </w:style>
  <w:style w:type="character" w:customStyle="1" w:styleId="24">
    <w:name w:val="表格字体 字符"/>
    <w:link w:val="23"/>
    <w:qFormat/>
    <w:uiPriority w:val="0"/>
    <w:rPr>
      <w:rFonts w:ascii="宋体" w:hAnsi="Calibri"/>
      <w:kern w:val="2"/>
      <w:sz w:val="24"/>
      <w:szCs w:val="22"/>
    </w:rPr>
  </w:style>
  <w:style w:type="character" w:customStyle="1" w:styleId="25">
    <w:name w:val="批注文字 字符"/>
    <w:basedOn w:val="15"/>
    <w:link w:val="4"/>
    <w:qFormat/>
    <w:uiPriority w:val="0"/>
    <w:rPr>
      <w:kern w:val="2"/>
      <w:sz w:val="24"/>
      <w:szCs w:val="24"/>
    </w:rPr>
  </w:style>
  <w:style w:type="character" w:customStyle="1" w:styleId="26">
    <w:name w:val="批注主题 字符"/>
    <w:basedOn w:val="25"/>
    <w:link w:val="11"/>
    <w:qFormat/>
    <w:uiPriority w:val="0"/>
    <w:rPr>
      <w:b/>
      <w:bCs/>
      <w:kern w:val="2"/>
      <w:sz w:val="24"/>
      <w:szCs w:val="24"/>
    </w:rPr>
  </w:style>
  <w:style w:type="character" w:customStyle="1" w:styleId="27">
    <w:name w:val="批注框文本 字符"/>
    <w:basedOn w:val="15"/>
    <w:link w:val="7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451</Words>
  <Characters>561</Characters>
  <Lines>93</Lines>
  <Paragraphs>84</Paragraphs>
  <TotalTime>0</TotalTime>
  <ScaleCrop>false</ScaleCrop>
  <LinksUpToDate>false</LinksUpToDate>
  <CharactersWithSpaces>928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2024-03-22T01:33:00Z</dcterms:created>
  <dc:creator>Administrator</dc:creator>
  <cp:lastModifiedBy>所璐</cp:lastModifiedBy>
  <dcterms:modified xsi:type="dcterms:W3CDTF">2025-12-24T08:00:55Z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791FEA5FEFBF4221A7968A7124319539_13</vt:lpwstr>
  </property>
</Properties>
</file>