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CE196C">
      <w:pPr>
        <w:spacing w:line="360" w:lineRule="auto"/>
        <w:jc w:val="center"/>
        <w:rPr>
          <w:rFonts w:ascii="宋体" w:hAnsi="宋体" w:cs="宋体"/>
          <w:b/>
          <w:bCs/>
          <w:color w:val="000000"/>
          <w:sz w:val="28"/>
          <w:szCs w:val="28"/>
        </w:rPr>
      </w:pPr>
      <w:r>
        <w:rPr>
          <w:rFonts w:hint="eastAsia" w:ascii="宋体" w:hAnsi="宋体" w:cs="宋体"/>
          <w:b/>
          <w:bCs/>
          <w:color w:val="000000"/>
          <w:sz w:val="28"/>
          <w:szCs w:val="28"/>
        </w:rPr>
        <w:t>工程量清单编制说明</w:t>
      </w:r>
    </w:p>
    <w:p w14:paraId="29185EB4">
      <w:pPr>
        <w:wordWrap w:val="0"/>
        <w:topLinePunct/>
        <w:spacing w:line="360" w:lineRule="auto"/>
        <w:ind w:firstLine="422" w:firstLineChars="200"/>
        <w:jc w:val="left"/>
        <w:rPr>
          <w:rFonts w:ascii="宋体" w:hAnsi="宋体" w:cs="宋体"/>
          <w:kern w:val="0"/>
          <w:szCs w:val="21"/>
        </w:rPr>
      </w:pPr>
      <w:r>
        <w:rPr>
          <w:rFonts w:hint="eastAsia" w:ascii="宋体" w:hAnsi="宋体" w:cs="宋体"/>
          <w:b/>
          <w:kern w:val="0"/>
          <w:szCs w:val="21"/>
        </w:rPr>
        <w:t>一、工程概况</w:t>
      </w:r>
      <w:r>
        <w:rPr>
          <w:rFonts w:hint="eastAsia" w:ascii="宋体" w:hAnsi="宋体" w:cs="宋体"/>
          <w:kern w:val="0"/>
          <w:szCs w:val="21"/>
        </w:rPr>
        <w:t>：</w:t>
      </w:r>
    </w:p>
    <w:p w14:paraId="2A50F298">
      <w:pPr>
        <w:spacing w:line="360" w:lineRule="auto"/>
        <w:ind w:firstLine="840" w:firstLineChars="400"/>
        <w:rPr>
          <w:rFonts w:hint="eastAsia" w:ascii="宋体" w:hAnsi="宋体" w:cs="宋体"/>
          <w:color w:val="auto"/>
          <w:kern w:val="2"/>
          <w:sz w:val="21"/>
          <w:szCs w:val="21"/>
          <w:highlight w:val="none"/>
          <w:lang w:val="en-US" w:eastAsia="zh-CN" w:bidi="ar-SA"/>
        </w:rPr>
      </w:pPr>
      <w:r>
        <w:rPr>
          <w:rFonts w:hint="eastAsia" w:ascii="宋体" w:hAnsi="宋体" w:eastAsia="宋体" w:cs="Times New Roman"/>
          <w:color w:val="auto"/>
          <w:szCs w:val="21"/>
          <w:highlight w:val="none"/>
        </w:rPr>
        <w:t>本工程为</w:t>
      </w:r>
      <w:r>
        <w:rPr>
          <w:rFonts w:hint="eastAsia" w:ascii="宋体" w:hAnsi="宋体" w:eastAsia="宋体" w:cs="Times New Roman"/>
          <w:color w:val="auto"/>
          <w:szCs w:val="21"/>
          <w:highlight w:val="none"/>
          <w:lang w:eastAsia="zh-CN"/>
        </w:rPr>
        <w:t>学林街公交中心站10kv供配电工程施工项目</w:t>
      </w:r>
      <w:r>
        <w:rPr>
          <w:rFonts w:hint="eastAsia" w:ascii="宋体" w:hAnsi="宋体" w:cs="宋体"/>
          <w:color w:val="auto"/>
          <w:kern w:val="2"/>
          <w:sz w:val="21"/>
          <w:szCs w:val="21"/>
          <w:highlight w:val="none"/>
          <w:lang w:val="en-US" w:eastAsia="zh-CN" w:bidi="ar-SA"/>
        </w:rPr>
        <w:t>。</w:t>
      </w:r>
    </w:p>
    <w:p w14:paraId="4ECD2969">
      <w:pPr>
        <w:keepNext w:val="0"/>
        <w:keepLines w:val="0"/>
        <w:pageBreakBefore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Times New Roman"/>
          <w:color w:val="auto"/>
          <w:szCs w:val="21"/>
          <w:highlight w:val="none"/>
        </w:rPr>
        <w:t>本项目位于</w:t>
      </w:r>
      <w:r>
        <w:rPr>
          <w:rFonts w:hint="eastAsia" w:ascii="宋体" w:hAnsi="宋体" w:eastAsia="宋体" w:cs="Times New Roman"/>
          <w:color w:val="auto"/>
          <w:szCs w:val="21"/>
          <w:highlight w:val="none"/>
          <w:lang w:val="en-US" w:eastAsia="zh-CN"/>
        </w:rPr>
        <w:t>浙江省</w:t>
      </w:r>
      <w:r>
        <w:rPr>
          <w:rFonts w:hint="eastAsia" w:ascii="宋体" w:hAnsi="宋体" w:eastAsia="宋体" w:cs="Times New Roman"/>
          <w:color w:val="auto"/>
          <w:szCs w:val="21"/>
          <w:highlight w:val="none"/>
        </w:rPr>
        <w:t>杭州</w:t>
      </w:r>
      <w:r>
        <w:rPr>
          <w:rFonts w:hint="eastAsia" w:ascii="宋体" w:hAnsi="宋体" w:eastAsia="宋体" w:cs="Times New Roman"/>
          <w:color w:val="auto"/>
          <w:szCs w:val="21"/>
          <w:highlight w:val="none"/>
          <w:lang w:val="en-US" w:eastAsia="zh-CN"/>
        </w:rPr>
        <w:t>市钱塘区下沙街道下沙社区学林街与乔下线交叉口东南角</w:t>
      </w:r>
      <w:r>
        <w:rPr>
          <w:rFonts w:hint="eastAsia" w:ascii="宋体" w:hAnsi="宋体" w:eastAsia="宋体" w:cs="Times New Roman"/>
          <w:color w:val="auto"/>
          <w:szCs w:val="21"/>
          <w:highlight w:val="none"/>
        </w:rPr>
        <w:t>。本次主要设计内容包括:</w:t>
      </w:r>
      <w:r>
        <w:rPr>
          <w:rFonts w:hint="eastAsia" w:ascii="宋体" w:hAnsi="宋体" w:eastAsia="宋体" w:cs="Times New Roman"/>
          <w:color w:val="auto"/>
          <w:szCs w:val="21"/>
          <w:highlight w:val="none"/>
          <w:lang w:val="en-US" w:eastAsia="zh-CN"/>
        </w:rPr>
        <w:t>新装630KVA配变2台，供电容量1260KVA。新装高压柜6台，新装低压柜11台。新敷设3*70mm2高压电缆1320m,新建高压工作井7座，新建4孔150热浸塑钢管293m</w:t>
      </w:r>
      <w:r>
        <w:rPr>
          <w:rFonts w:hint="eastAsia" w:ascii="宋体" w:hAnsi="宋体" w:eastAsia="宋体" w:cs="Times New Roman"/>
          <w:color w:val="auto"/>
          <w:szCs w:val="21"/>
          <w:highlight w:val="none"/>
        </w:rPr>
        <w:t>等附属工程</w:t>
      </w:r>
      <w:r>
        <w:rPr>
          <w:rFonts w:hint="eastAsia" w:ascii="宋体" w:hAnsi="宋体" w:cs="宋体"/>
          <w:color w:val="auto"/>
          <w:kern w:val="2"/>
          <w:sz w:val="21"/>
          <w:szCs w:val="21"/>
          <w:highlight w:val="none"/>
          <w:lang w:val="en-US" w:eastAsia="zh-CN" w:bidi="ar-SA"/>
        </w:rPr>
        <w:t>。</w:t>
      </w:r>
    </w:p>
    <w:p w14:paraId="556FFD79">
      <w:pPr>
        <w:wordWrap w:val="0"/>
        <w:topLinePunct/>
        <w:spacing w:line="360" w:lineRule="auto"/>
        <w:ind w:firstLine="422" w:firstLineChars="200"/>
        <w:jc w:val="left"/>
        <w:rPr>
          <w:rFonts w:ascii="宋体" w:hAnsi="宋体" w:cs="宋体"/>
          <w:b/>
          <w:kern w:val="0"/>
          <w:szCs w:val="21"/>
          <w:highlight w:val="none"/>
        </w:rPr>
      </w:pPr>
      <w:r>
        <w:rPr>
          <w:rFonts w:hint="eastAsia" w:ascii="宋体" w:hAnsi="宋体" w:cs="宋体"/>
          <w:b/>
          <w:kern w:val="0"/>
          <w:szCs w:val="21"/>
          <w:highlight w:val="none"/>
        </w:rPr>
        <w:t>二、工程招标范围：</w:t>
      </w:r>
    </w:p>
    <w:p w14:paraId="68918668">
      <w:pPr>
        <w:keepNext w:val="0"/>
        <w:keepLines w:val="0"/>
        <w:pageBreakBefore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Times New Roman"/>
          <w:color w:val="auto"/>
          <w:szCs w:val="21"/>
          <w:highlight w:val="none"/>
        </w:rPr>
      </w:pPr>
      <w:r>
        <w:rPr>
          <w:rFonts w:hint="eastAsia" w:ascii="宋体" w:hAnsi="宋体"/>
          <w:color w:val="auto"/>
          <w:szCs w:val="21"/>
          <w:highlight w:val="none"/>
        </w:rPr>
        <w:t>招标范围及内容主要为</w:t>
      </w:r>
      <w:r>
        <w:rPr>
          <w:rFonts w:hint="eastAsia" w:ascii="宋体" w:hAnsi="宋体" w:eastAsia="宋体" w:cs="Times New Roman"/>
          <w:color w:val="auto"/>
          <w:szCs w:val="21"/>
          <w:highlight w:val="none"/>
          <w:lang w:val="en-US" w:eastAsia="zh-CN"/>
        </w:rPr>
        <w:t>新装630KVA配变2台，供电容量1260KVA。新装高压柜6台，新装低压柜11台。新敷设3*70mm2高压电缆1320m,新建高压工作井7座，新建4孔150热浸塑钢管293m</w:t>
      </w:r>
      <w:r>
        <w:rPr>
          <w:rFonts w:hint="eastAsia" w:ascii="宋体" w:hAnsi="宋体" w:eastAsia="宋体" w:cs="Times New Roman"/>
          <w:color w:val="auto"/>
          <w:szCs w:val="21"/>
          <w:highlight w:val="none"/>
        </w:rPr>
        <w:t>等附属工程</w:t>
      </w:r>
      <w:r>
        <w:rPr>
          <w:rFonts w:hint="eastAsia" w:ascii="宋体" w:hAnsi="宋体" w:cs="宋体"/>
          <w:color w:val="auto"/>
          <w:kern w:val="2"/>
          <w:sz w:val="21"/>
          <w:szCs w:val="21"/>
          <w:highlight w:val="none"/>
          <w:lang w:val="en-US" w:eastAsia="zh-CN" w:bidi="ar-SA"/>
        </w:rPr>
        <w:t>具体详见施工图纸</w:t>
      </w:r>
      <w:r>
        <w:rPr>
          <w:rFonts w:hint="eastAsia" w:ascii="宋体" w:hAnsi="宋体" w:eastAsia="宋体" w:cs="Times New Roman"/>
          <w:color w:val="auto"/>
          <w:szCs w:val="21"/>
          <w:highlight w:val="none"/>
        </w:rPr>
        <w:t>。</w:t>
      </w:r>
    </w:p>
    <w:p w14:paraId="683E7C7D">
      <w:pPr>
        <w:wordWrap w:val="0"/>
        <w:topLinePunct/>
        <w:spacing w:line="360" w:lineRule="auto"/>
        <w:ind w:firstLine="422" w:firstLineChars="200"/>
        <w:jc w:val="left"/>
        <w:rPr>
          <w:rFonts w:ascii="宋体" w:hAnsi="宋体" w:cs="宋体"/>
          <w:b/>
          <w:kern w:val="0"/>
          <w:szCs w:val="21"/>
          <w:highlight w:val="none"/>
        </w:rPr>
      </w:pPr>
      <w:r>
        <w:rPr>
          <w:rFonts w:hint="eastAsia" w:ascii="宋体" w:hAnsi="宋体" w:cs="宋体"/>
          <w:b/>
          <w:kern w:val="0"/>
          <w:szCs w:val="21"/>
          <w:highlight w:val="none"/>
        </w:rPr>
        <w:t>三、工程量清单编制依据：</w:t>
      </w:r>
    </w:p>
    <w:p w14:paraId="0B2E00F5">
      <w:pPr>
        <w:pStyle w:val="17"/>
        <w:rPr>
          <w:rFonts w:hint="eastAsia" w:ascii="宋体" w:hAnsi="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1、工程量：根据</w:t>
      </w:r>
      <w:r>
        <w:rPr>
          <w:rFonts w:hint="eastAsia" w:ascii="宋体" w:hAnsi="宋体" w:eastAsia="宋体" w:cs="宋体"/>
          <w:color w:val="auto"/>
          <w:kern w:val="2"/>
          <w:sz w:val="21"/>
          <w:szCs w:val="21"/>
          <w:highlight w:val="none"/>
          <w:lang w:val="en-US" w:eastAsia="zh-CN" w:bidi="ar-SA"/>
        </w:rPr>
        <w:t>杭州鹏泰电力设计咨询有限公司提供的施工图纸；</w:t>
      </w:r>
    </w:p>
    <w:p w14:paraId="560A2ECF">
      <w:pPr>
        <w:pStyle w:val="17"/>
        <w:rPr>
          <w:rFonts w:hint="eastAsia" w:ascii="宋体" w:hAnsi="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2、《建设工程工程量清单计价规范》（GB50500-2013）、《浙江省建设工程工程量清单计价指引》（2013年）、《杭州市建设工程工程量清单计价实施细则》（2018年修订）、《浙江省建设工程计价规则》（2018版）、《浙江省园林绿化及仿古建筑工程预算定额》（2018版）、《浙江省市政工程预算定额》（2018版）、《浙江省建设工程施工机械台班费用定额》（2018版）、《关于颁发浙江省建设工程计价依据（2018版）的通知》（浙建建[2018]61号）、《省建设厅关于调整建筑工程安全文明施工费的通知》（杭建市通知（2025）98号）、现行施工质量验收规范和相关图集、文件及相关定额补充及解释等；</w:t>
      </w:r>
    </w:p>
    <w:p w14:paraId="7363D026">
      <w:pPr>
        <w:pStyle w:val="17"/>
        <w:rPr>
          <w:rFonts w:hint="eastAsia" w:ascii="宋体" w:hAnsi="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 xml:space="preserve">3、取费标准： </w:t>
      </w:r>
    </w:p>
    <w:p w14:paraId="075352BD">
      <w:pPr>
        <w:pStyle w:val="17"/>
        <w:rPr>
          <w:rFonts w:hint="eastAsia" w:ascii="宋体" w:hAnsi="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1）安全文明施工基本费费率不得低于省建设行政主管部门颁发的相关取费计价文件规定的弹性费率下限值。根据《杭州市城乡建设委员会关于落实《省建设厅关于调整我省2018版建筑安装工程安全文明施工费的通知》有关事项的通知》（杭建市通知（2025）98号）文件要求。本工程安全文明施工基本费取费基数为“人工费+机械费”，最低费率市政土建工程（道路、排水、桥梁）为9.35%，安装工程为7.99%，建筑工程为10.71%</w:t>
      </w:r>
    </w:p>
    <w:p w14:paraId="46E4F0FB">
      <w:pPr>
        <w:pStyle w:val="17"/>
        <w:rPr>
          <w:rFonts w:hint="eastAsia" w:ascii="宋体" w:hAnsi="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2）企业管理费报价不得低于省建设行政主管部门颁发的相关取费计价文件规定的对应专业工程企业管理费弹性费率下限乘以20%的计算值。本工程企业管理费取费基数为“人工费+机械费”，最低费率市政土建工程（道路、排水）为12.78%*20%=2.56%，安装工程为16.29%*20%=3.26%，建筑工程为12.43%*20%=2.49%</w:t>
      </w:r>
    </w:p>
    <w:p w14:paraId="624643AF">
      <w:pPr>
        <w:pStyle w:val="17"/>
        <w:rPr>
          <w:rFonts w:hint="eastAsia" w:ascii="宋体" w:hAnsi="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3）规费费率包括养老保险费、失业保险费、医疗保险费、生育保险费、工伤保险费和住房公积金等“五险一金”。投标人应根据本企业实际交纳“五险一金”情况自主确定规费费率，但不得低于按照《浙江省建设工程计价规则》（2018版）规定的对应专业工程标准费率的30%。本工程规费取费基数为“人工费+机械费”，最低费率市政土建工程（道路、排水）为18.75%*30%=5.63%，安装工程为30.63%*30%=9.19%，建筑工程为25.78%*30%=7.74%；</w:t>
      </w:r>
    </w:p>
    <w:p w14:paraId="176F5927">
      <w:pPr>
        <w:pStyle w:val="17"/>
        <w:rPr>
          <w:rFonts w:hint="eastAsia" w:ascii="宋体" w:hAnsi="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（4）税金按《浙建建发[2019]92号》文件规定9%计取，计费基数为税前工程造价；</w:t>
      </w:r>
    </w:p>
    <w:p w14:paraId="5E55590A">
      <w:pPr>
        <w:pStyle w:val="17"/>
        <w:rPr>
          <w:rFonts w:hint="eastAsia" w:ascii="宋体" w:hAnsi="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（5）施工企业现场临时宿舍取暖降温费用，应根据市政府、市建设行政主管部门颁发的有关文件对于现场监控和现场民工宿舍空调的设置要求或标准规定落实相应费用的报价。</w:t>
      </w:r>
    </w:p>
    <w:p w14:paraId="3908A905">
      <w:pPr>
        <w:wordWrap w:val="0"/>
        <w:topLinePunct/>
        <w:spacing w:line="360" w:lineRule="auto"/>
        <w:ind w:firstLine="422" w:firstLineChars="200"/>
        <w:jc w:val="left"/>
        <w:rPr>
          <w:rFonts w:ascii="宋体" w:hAnsi="宋体" w:cs="宋体"/>
          <w:b/>
          <w:kern w:val="0"/>
          <w:szCs w:val="21"/>
        </w:rPr>
      </w:pPr>
      <w:r>
        <w:rPr>
          <w:rFonts w:hint="eastAsia" w:ascii="宋体" w:hAnsi="宋体" w:cs="宋体"/>
          <w:b/>
          <w:kern w:val="0"/>
          <w:szCs w:val="21"/>
          <w:lang w:val="en-US" w:eastAsia="zh-CN"/>
        </w:rPr>
        <w:t>四</w:t>
      </w:r>
      <w:r>
        <w:rPr>
          <w:rFonts w:hint="eastAsia" w:ascii="宋体" w:hAnsi="宋体" w:cs="宋体"/>
          <w:b/>
          <w:kern w:val="0"/>
          <w:szCs w:val="21"/>
        </w:rPr>
        <w:t>、工程量清单编制说明：</w:t>
      </w:r>
    </w:p>
    <w:p w14:paraId="242F3973">
      <w:pPr>
        <w:pStyle w:val="17"/>
        <w:rPr>
          <w:rFonts w:hint="eastAsia" w:ascii="宋体" w:hAnsi="宋体" w:eastAsia="宋体" w:cs="宋体"/>
          <w:color w:val="auto"/>
          <w:kern w:val="2"/>
          <w:sz w:val="21"/>
          <w:szCs w:val="21"/>
          <w:highlight w:val="none"/>
          <w:lang w:val="zh-CN" w:eastAsia="zh-CN" w:bidi="ar-SA"/>
        </w:rPr>
      </w:pPr>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color w:val="auto"/>
          <w:kern w:val="2"/>
          <w:sz w:val="21"/>
          <w:szCs w:val="21"/>
          <w:highlight w:val="none"/>
          <w:lang w:val="zh-CN" w:eastAsia="zh-CN" w:bidi="ar-SA"/>
        </w:rPr>
        <w:t>土方工程余方弃置工程量=挖方清单项目工程量-回填方清单项目工程量。</w:t>
      </w:r>
    </w:p>
    <w:p w14:paraId="02864887">
      <w:pPr>
        <w:pStyle w:val="17"/>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w:t>
      </w:r>
      <w:r>
        <w:rPr>
          <w:rFonts w:hint="eastAsia" w:ascii="宋体" w:hAnsi="宋体" w:eastAsia="宋体" w:cs="宋体"/>
          <w:color w:val="auto"/>
          <w:kern w:val="2"/>
          <w:sz w:val="21"/>
          <w:szCs w:val="21"/>
          <w:highlight w:val="none"/>
          <w:lang w:val="zh-CN" w:eastAsia="zh-CN" w:bidi="ar-SA"/>
        </w:rPr>
        <w:t>投标人应在综合单价中充分考虑施工中的各种损耗和需要增加的工程量（合同中规定单价可以调整的除外），所报综合单价应包含该清单子目的所有工作内容，并考虑风险因素。</w:t>
      </w:r>
    </w:p>
    <w:p w14:paraId="4FDBDE14">
      <w:pPr>
        <w:pStyle w:val="17"/>
        <w:rPr>
          <w:rFonts w:hint="eastAsia" w:ascii="宋体" w:hAnsi="宋体" w:eastAsia="宋体" w:cs="宋体"/>
          <w:color w:val="auto"/>
          <w:kern w:val="2"/>
          <w:sz w:val="21"/>
          <w:szCs w:val="21"/>
          <w:highlight w:val="none"/>
          <w:lang w:val="zh-CN" w:eastAsia="zh-CN" w:bidi="ar-SA"/>
        </w:rPr>
      </w:pPr>
      <w:r>
        <w:rPr>
          <w:rFonts w:hint="eastAsia" w:ascii="宋体" w:hAnsi="宋体" w:cs="宋体"/>
          <w:color w:val="auto"/>
          <w:kern w:val="2"/>
          <w:sz w:val="21"/>
          <w:szCs w:val="21"/>
          <w:highlight w:val="none"/>
          <w:lang w:val="en-US" w:eastAsia="zh-CN" w:bidi="ar-SA"/>
        </w:rPr>
        <w:t>3</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zh-CN" w:eastAsia="zh-CN" w:bidi="ar-SA"/>
        </w:rPr>
        <w:t>本工程量清单中土方开挖子目均统一按挖土方列项，不区分各类别土方、绿化、苗木、草皮、房屋基础及地坪、建筑垃圾等。投标人须考虑现场可能出现各种类别土质、地坪及障碍物等实际情况综合予以报价。工程竣工结算时不论何种土质均按工程量清单相应综合单价结算。</w:t>
      </w:r>
    </w:p>
    <w:p w14:paraId="2D2E03CE">
      <w:pPr>
        <w:pStyle w:val="17"/>
        <w:rPr>
          <w:rFonts w:hint="eastAsia" w:ascii="宋体" w:hAnsi="宋体" w:eastAsia="宋体" w:cs="宋体"/>
          <w:color w:val="auto"/>
          <w:kern w:val="2"/>
          <w:sz w:val="21"/>
          <w:szCs w:val="21"/>
          <w:highlight w:val="none"/>
          <w:lang w:val="zh-CN" w:eastAsia="zh-CN" w:bidi="ar-SA"/>
        </w:rPr>
      </w:pPr>
      <w:r>
        <w:rPr>
          <w:rFonts w:hint="eastAsia" w:ascii="宋体" w:hAnsi="宋体" w:cs="宋体"/>
          <w:color w:val="auto"/>
          <w:kern w:val="2"/>
          <w:sz w:val="21"/>
          <w:szCs w:val="21"/>
          <w:highlight w:val="none"/>
          <w:lang w:val="en-US" w:eastAsia="zh-CN" w:bidi="ar-SA"/>
        </w:rPr>
        <w:t>4</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zh-CN" w:eastAsia="zh-CN" w:bidi="ar-SA"/>
        </w:rPr>
        <w:t>施工现场可能存在现状房屋建筑物、构筑物、管线（已明管线）、市政设施、老桥、名木古树、文物古迹、测绘地质标志等等需要保护，请投标单位根据现场情况及施工图纸自行考虑报价，将其保护费用列入措施费中。</w:t>
      </w:r>
    </w:p>
    <w:p w14:paraId="6D1C8FD6">
      <w:pPr>
        <w:pStyle w:val="17"/>
        <w:rPr>
          <w:rFonts w:hint="eastAsia" w:ascii="宋体" w:hAnsi="宋体" w:eastAsia="宋体" w:cs="宋体"/>
          <w:color w:val="auto"/>
          <w:kern w:val="2"/>
          <w:sz w:val="21"/>
          <w:szCs w:val="21"/>
          <w:highlight w:val="none"/>
          <w:lang w:val="zh-CN" w:eastAsia="zh-CN" w:bidi="ar-SA"/>
        </w:rPr>
      </w:pPr>
      <w:r>
        <w:rPr>
          <w:rFonts w:hint="eastAsia" w:ascii="宋体" w:hAnsi="宋体" w:cs="宋体"/>
          <w:color w:val="auto"/>
          <w:kern w:val="2"/>
          <w:sz w:val="21"/>
          <w:szCs w:val="21"/>
          <w:highlight w:val="none"/>
          <w:lang w:val="en-US" w:eastAsia="zh-CN" w:bidi="ar-SA"/>
        </w:rPr>
        <w:t>5</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zh-CN" w:eastAsia="zh-CN" w:bidi="ar-SA"/>
        </w:rPr>
        <w:t>施工单位所有自行检测的费用，请投标单位在报价中充分考虑。</w:t>
      </w:r>
    </w:p>
    <w:p w14:paraId="17F8E401">
      <w:pPr>
        <w:pStyle w:val="17"/>
        <w:rPr>
          <w:rFonts w:hint="eastAsia" w:ascii="宋体" w:hAnsi="宋体" w:eastAsia="宋体" w:cs="宋体"/>
          <w:color w:val="auto"/>
          <w:kern w:val="2"/>
          <w:sz w:val="21"/>
          <w:szCs w:val="21"/>
          <w:highlight w:val="none"/>
          <w:lang w:val="zh-CN" w:eastAsia="zh-CN" w:bidi="ar-SA"/>
        </w:rPr>
      </w:pPr>
      <w:r>
        <w:rPr>
          <w:rFonts w:hint="eastAsia" w:ascii="宋体" w:hAnsi="宋体" w:cs="宋体"/>
          <w:color w:val="auto"/>
          <w:kern w:val="2"/>
          <w:sz w:val="21"/>
          <w:szCs w:val="21"/>
          <w:highlight w:val="none"/>
          <w:lang w:val="en-US" w:eastAsia="zh-CN" w:bidi="ar-SA"/>
        </w:rPr>
        <w:t>6</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zh-CN" w:eastAsia="zh-CN" w:bidi="ar-SA"/>
        </w:rPr>
        <w:t>如需与本工程交叉施工的施工单位进行配合，配合费用计入总报价中，不再单独列项。</w:t>
      </w:r>
    </w:p>
    <w:p w14:paraId="3DC0B77D">
      <w:pPr>
        <w:pStyle w:val="17"/>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7</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zh-CN" w:eastAsia="zh-CN" w:bidi="ar-SA"/>
        </w:rPr>
        <w:t>施工单位对先行完成施工的构筑物或其他施工单位先行施工的构筑物进行安全保护，其保护措施引起的现状检测、安全评估及施工监测由施工单位自行承担并实施，费用计入总报价中，不再单独列项。</w:t>
      </w:r>
    </w:p>
    <w:p w14:paraId="1F4D1FCE">
      <w:pPr>
        <w:pStyle w:val="17"/>
        <w:rPr>
          <w:rFonts w:hint="eastAsia" w:ascii="宋体" w:hAnsi="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8.场内土方短驳运输，投标单位根据现场及自身实际情况综合考虑在投标报价内。</w:t>
      </w:r>
    </w:p>
    <w:p w14:paraId="285C4916">
      <w:pPr>
        <w:pStyle w:val="17"/>
        <w:rPr>
          <w:rFonts w:hint="default" w:ascii="宋体" w:hAnsi="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9.</w:t>
      </w:r>
      <w:r>
        <w:rPr>
          <w:rFonts w:hint="eastAsia" w:ascii="宋体" w:hAnsi="宋体" w:eastAsia="宋体" w:cs="宋体"/>
          <w:color w:val="auto"/>
          <w:kern w:val="2"/>
          <w:sz w:val="21"/>
          <w:szCs w:val="21"/>
          <w:highlight w:val="none"/>
          <w:lang w:val="en-US" w:eastAsia="zh-CN" w:bidi="ar-SA"/>
        </w:rPr>
        <w:t>电缆清单工程量根据2013版清单计量规则计取，电缆敷设弛度、波形弯度、交叉、</w:t>
      </w:r>
      <w:r>
        <w:rPr>
          <w:rFonts w:hint="eastAsia" w:ascii="宋体" w:hAnsi="宋体" w:cs="宋体"/>
          <w:color w:val="auto"/>
          <w:kern w:val="2"/>
          <w:sz w:val="21"/>
          <w:szCs w:val="21"/>
          <w:highlight w:val="none"/>
          <w:lang w:val="en-US" w:eastAsia="zh-CN" w:bidi="ar-SA"/>
        </w:rPr>
        <w:t>各种</w:t>
      </w:r>
      <w:r>
        <w:rPr>
          <w:rFonts w:hint="eastAsia" w:ascii="宋体" w:hAnsi="宋体" w:eastAsia="宋体" w:cs="宋体"/>
          <w:color w:val="auto"/>
          <w:kern w:val="2"/>
          <w:sz w:val="21"/>
          <w:szCs w:val="21"/>
          <w:highlight w:val="none"/>
          <w:lang w:val="en-US" w:eastAsia="zh-CN" w:bidi="ar-SA"/>
        </w:rPr>
        <w:t>预留均由投标人自行考虑在综合报价中</w:t>
      </w:r>
      <w:r>
        <w:rPr>
          <w:rFonts w:hint="eastAsia" w:ascii="宋体" w:hAnsi="宋体" w:cs="宋体"/>
          <w:color w:val="auto"/>
          <w:kern w:val="2"/>
          <w:sz w:val="21"/>
          <w:szCs w:val="21"/>
          <w:highlight w:val="none"/>
          <w:lang w:val="en-US" w:eastAsia="zh-CN" w:bidi="ar-SA"/>
        </w:rPr>
        <w:t>。</w:t>
      </w:r>
      <w:bookmarkStart w:id="0" w:name="_GoBack"/>
      <w:bookmarkEnd w:id="0"/>
    </w:p>
    <w:p w14:paraId="5564A36A">
      <w:pPr>
        <w:pStyle w:val="17"/>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五、其他说明：</w:t>
      </w:r>
    </w:p>
    <w:p w14:paraId="661C614B">
      <w:pPr>
        <w:pStyle w:val="17"/>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14:paraId="190D050C">
      <w:pPr>
        <w:pStyle w:val="17"/>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2.各投标单位需要在相应的子目中综合考虑费用；</w:t>
      </w:r>
    </w:p>
    <w:p w14:paraId="4C8670B3">
      <w:pPr>
        <w:pStyle w:val="17"/>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3.措施费中以“项”为单位措施项目均一次性包干，费用由各投标单位根据施工组织设计方案自行考虑报价，应考虑现场的各种风险因素；</w:t>
      </w:r>
    </w:p>
    <w:p w14:paraId="4CB83EDF">
      <w:pPr>
        <w:pStyle w:val="17"/>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4.根据工程量清单报价原则“固定综合单价”，以“项”为单位的工程量清单项目综合单价为包干价，请投标单位根据项目实际情况合理报价；</w:t>
      </w:r>
    </w:p>
    <w:p w14:paraId="0E9D2962">
      <w:pPr>
        <w:pStyle w:val="17"/>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5.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14:paraId="2ADA2C9E">
      <w:pPr>
        <w:pStyle w:val="17"/>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6.分部分项工程量清单中的工程量是按实物净量计算，一切损耗均应在投标报价内；</w:t>
      </w:r>
    </w:p>
    <w:p w14:paraId="0A9AE8B6">
      <w:pPr>
        <w:pStyle w:val="17"/>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7.投标人应充分考虑周边建筑、道路和地下管线设施的保护费用，并考虑在总投标价中；</w:t>
      </w:r>
    </w:p>
    <w:p w14:paraId="74574CBA">
      <w:pPr>
        <w:pStyle w:val="17"/>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8.本工程所有的材料的环保等级必须满足国家及地方标准，符合验收相关规范； </w:t>
      </w:r>
    </w:p>
    <w:p w14:paraId="726C0148">
      <w:pPr>
        <w:pStyle w:val="17"/>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9.投标人应充分考虑施工时交改、围护等技术措施，相应费用计入技术措施费中，并充分考虑报价风险，今后结算不进行调整；</w:t>
      </w:r>
    </w:p>
    <w:p w14:paraId="78F74CF5">
      <w:pPr>
        <w:pStyle w:val="17"/>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10.各投标单位应根据现场实际情况自行考虑，包含施工范围内所有的原结构和建筑垃圾拆除及外运等,所有外运物弃置场地及运距由投标人自行综合考虑，相应费用均计入报价，今后不作调整；</w:t>
      </w:r>
    </w:p>
    <w:p w14:paraId="648D3BA2">
      <w:pPr>
        <w:pStyle w:val="17"/>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11.相关工艺施工前应做的基层清理工作应包含在投标报价中，清单特征描述中不再一一描述；</w:t>
      </w:r>
    </w:p>
    <w:p w14:paraId="21D980AF">
      <w:pPr>
        <w:pStyle w:val="17"/>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12.本清单项目特征描述不完整时，投标单位应结合施工图及相关规范、规定等进行综合考虑；</w:t>
      </w:r>
    </w:p>
    <w:p w14:paraId="01BF358F">
      <w:pPr>
        <w:pStyle w:val="17"/>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13.本工程按照《杭州市人民政府办公厅关于印发杭州市建设工程推广应用预拌砂浆管理办法的通知》（杭政办函【2011】32号文件）的要求使用预拌砂浆，投标人应将使用预拌砂浆的费用计入投标报价；</w:t>
      </w:r>
    </w:p>
    <w:p w14:paraId="65B80E20">
      <w:pPr>
        <w:pStyle w:val="17"/>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14.本工程砼按《杭州市商品混凝土管理办法 杭州市政府令第115号》文件要求使用商品混凝土。</w:t>
      </w:r>
    </w:p>
    <w:p w14:paraId="08CBB61C">
      <w:pPr>
        <w:pStyle w:val="17"/>
        <w:rPr>
          <w:rFonts w:hint="default" w:ascii="宋体" w:hAnsi="宋体" w:eastAsia="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15.土方开挖相关手续由承包人自行处理。</w:t>
      </w:r>
    </w:p>
    <w:p w14:paraId="0441A05D">
      <w:pPr>
        <w:pStyle w:val="17"/>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八</w:t>
      </w:r>
      <w:r>
        <w:rPr>
          <w:rFonts w:hint="eastAsia" w:ascii="宋体" w:hAnsi="宋体" w:eastAsia="宋体" w:cs="宋体"/>
          <w:color w:val="auto"/>
          <w:kern w:val="2"/>
          <w:sz w:val="21"/>
          <w:szCs w:val="21"/>
          <w:highlight w:val="none"/>
          <w:lang w:val="zh-CN" w:eastAsia="zh-CN" w:bidi="ar-SA"/>
        </w:rPr>
        <w:t>、其他不详之处，详见国家及地方标准。</w:t>
      </w:r>
    </w:p>
    <w:p w14:paraId="6930F979">
      <w:pPr>
        <w:pStyle w:val="17"/>
        <w:rPr>
          <w:rFonts w:hint="default" w:ascii="宋体" w:hAnsi="宋体" w:eastAsia="宋体" w:cs="宋体"/>
          <w:color w:val="auto"/>
          <w:kern w:val="2"/>
          <w:sz w:val="21"/>
          <w:szCs w:val="21"/>
          <w:highlight w:val="none"/>
          <w:lang w:val="en-US" w:eastAsia="zh-CN" w:bidi="ar-SA"/>
        </w:rPr>
      </w:pP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6C7E98"/>
    <w:multiLevelType w:val="multilevel"/>
    <w:tmpl w:val="3A6C7E98"/>
    <w:lvl w:ilvl="0" w:tentative="0">
      <w:start w:val="1"/>
      <w:numFmt w:val="decimal"/>
      <w:pStyle w:val="32"/>
      <w:lvlText w:val="(%1)"/>
      <w:lvlJc w:val="left"/>
      <w:pPr>
        <w:tabs>
          <w:tab w:val="left" w:pos="1080"/>
        </w:tabs>
        <w:ind w:left="1080" w:hanging="360"/>
      </w:pPr>
      <w:rPr>
        <w:rFonts w:hint="eastAsia"/>
      </w:rPr>
    </w:lvl>
    <w:lvl w:ilvl="1" w:tentative="0">
      <w:start w:val="1"/>
      <w:numFmt w:val="lowerLetter"/>
      <w:lvlText w:val="%2)"/>
      <w:lvlJc w:val="left"/>
      <w:pPr>
        <w:tabs>
          <w:tab w:val="left" w:pos="1560"/>
        </w:tabs>
        <w:ind w:left="1560" w:hanging="420"/>
      </w:pPr>
    </w:lvl>
    <w:lvl w:ilvl="2" w:tentative="0">
      <w:start w:val="1"/>
      <w:numFmt w:val="lowerRoman"/>
      <w:lvlText w:val="%3."/>
      <w:lvlJc w:val="right"/>
      <w:pPr>
        <w:tabs>
          <w:tab w:val="left" w:pos="1980"/>
        </w:tabs>
        <w:ind w:left="1980" w:hanging="420"/>
      </w:pPr>
    </w:lvl>
    <w:lvl w:ilvl="3" w:tentative="0">
      <w:start w:val="1"/>
      <w:numFmt w:val="decimal"/>
      <w:lvlText w:val="%4."/>
      <w:lvlJc w:val="left"/>
      <w:pPr>
        <w:tabs>
          <w:tab w:val="left" w:pos="2400"/>
        </w:tabs>
        <w:ind w:left="2400" w:hanging="420"/>
      </w:pPr>
    </w:lvl>
    <w:lvl w:ilvl="4" w:tentative="0">
      <w:start w:val="1"/>
      <w:numFmt w:val="lowerLetter"/>
      <w:lvlText w:val="%5)"/>
      <w:lvlJc w:val="left"/>
      <w:pPr>
        <w:tabs>
          <w:tab w:val="left" w:pos="2820"/>
        </w:tabs>
        <w:ind w:left="2820" w:hanging="420"/>
      </w:pPr>
    </w:lvl>
    <w:lvl w:ilvl="5" w:tentative="0">
      <w:start w:val="1"/>
      <w:numFmt w:val="lowerRoman"/>
      <w:lvlText w:val="%6."/>
      <w:lvlJc w:val="right"/>
      <w:pPr>
        <w:tabs>
          <w:tab w:val="left" w:pos="3240"/>
        </w:tabs>
        <w:ind w:left="3240" w:hanging="420"/>
      </w:pPr>
    </w:lvl>
    <w:lvl w:ilvl="6" w:tentative="0">
      <w:start w:val="1"/>
      <w:numFmt w:val="decimal"/>
      <w:lvlText w:val="%7."/>
      <w:lvlJc w:val="left"/>
      <w:pPr>
        <w:tabs>
          <w:tab w:val="left" w:pos="3660"/>
        </w:tabs>
        <w:ind w:left="3660" w:hanging="420"/>
      </w:pPr>
    </w:lvl>
    <w:lvl w:ilvl="7" w:tentative="0">
      <w:start w:val="1"/>
      <w:numFmt w:val="lowerLetter"/>
      <w:lvlText w:val="%8)"/>
      <w:lvlJc w:val="left"/>
      <w:pPr>
        <w:tabs>
          <w:tab w:val="left" w:pos="4080"/>
        </w:tabs>
        <w:ind w:left="4080" w:hanging="420"/>
      </w:pPr>
    </w:lvl>
    <w:lvl w:ilvl="8" w:tentative="0">
      <w:start w:val="1"/>
      <w:numFmt w:val="lowerRoman"/>
      <w:lvlText w:val="%9."/>
      <w:lvlJc w:val="right"/>
      <w:pPr>
        <w:tabs>
          <w:tab w:val="left" w:pos="4500"/>
        </w:tabs>
        <w:ind w:left="45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bordersDoNotSurroundHeader w:val="0"/>
  <w:bordersDoNotSurroundFooter w:val="0"/>
  <w:documentProtection w:enforcement="0"/>
  <w:defaultTabStop w:val="420"/>
  <w:doNotHyphenateCaps/>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zZjYwN2Q5NTM4MWJiNDAxNmZkNmY1ZjA1MTUzZTUifQ=="/>
  </w:docVars>
  <w:rsids>
    <w:rsidRoot w:val="00172A27"/>
    <w:rsid w:val="00004F33"/>
    <w:rsid w:val="00007FC8"/>
    <w:rsid w:val="000116E2"/>
    <w:rsid w:val="00033EC5"/>
    <w:rsid w:val="00054E86"/>
    <w:rsid w:val="00060DC3"/>
    <w:rsid w:val="00060DD5"/>
    <w:rsid w:val="00062984"/>
    <w:rsid w:val="00063C24"/>
    <w:rsid w:val="00070945"/>
    <w:rsid w:val="00076479"/>
    <w:rsid w:val="00083E9E"/>
    <w:rsid w:val="00086FDE"/>
    <w:rsid w:val="00095D4B"/>
    <w:rsid w:val="000A46BC"/>
    <w:rsid w:val="000B1C48"/>
    <w:rsid w:val="000C3A5D"/>
    <w:rsid w:val="000C7E30"/>
    <w:rsid w:val="000E1456"/>
    <w:rsid w:val="000E5BB1"/>
    <w:rsid w:val="000F3DD6"/>
    <w:rsid w:val="000F4A95"/>
    <w:rsid w:val="000F7CF6"/>
    <w:rsid w:val="00114DFB"/>
    <w:rsid w:val="00120BBB"/>
    <w:rsid w:val="00120D8B"/>
    <w:rsid w:val="0013127D"/>
    <w:rsid w:val="00140944"/>
    <w:rsid w:val="00146182"/>
    <w:rsid w:val="00147E14"/>
    <w:rsid w:val="001520AB"/>
    <w:rsid w:val="00160675"/>
    <w:rsid w:val="00177FDB"/>
    <w:rsid w:val="00183047"/>
    <w:rsid w:val="001870DA"/>
    <w:rsid w:val="001905B8"/>
    <w:rsid w:val="00192819"/>
    <w:rsid w:val="001A6D8C"/>
    <w:rsid w:val="001B3342"/>
    <w:rsid w:val="001B3F6A"/>
    <w:rsid w:val="001C471C"/>
    <w:rsid w:val="001E697C"/>
    <w:rsid w:val="001F264D"/>
    <w:rsid w:val="001F7BC2"/>
    <w:rsid w:val="002012BB"/>
    <w:rsid w:val="00216578"/>
    <w:rsid w:val="00223B64"/>
    <w:rsid w:val="0023049B"/>
    <w:rsid w:val="00233C62"/>
    <w:rsid w:val="00233D5B"/>
    <w:rsid w:val="002430F4"/>
    <w:rsid w:val="002441E1"/>
    <w:rsid w:val="00247F44"/>
    <w:rsid w:val="00255D6C"/>
    <w:rsid w:val="00256E4F"/>
    <w:rsid w:val="00264F04"/>
    <w:rsid w:val="00274250"/>
    <w:rsid w:val="00277229"/>
    <w:rsid w:val="002779F7"/>
    <w:rsid w:val="00293936"/>
    <w:rsid w:val="00296BB6"/>
    <w:rsid w:val="002A4742"/>
    <w:rsid w:val="002C2BDC"/>
    <w:rsid w:val="002C7D3B"/>
    <w:rsid w:val="002E46F4"/>
    <w:rsid w:val="002F176A"/>
    <w:rsid w:val="002F241C"/>
    <w:rsid w:val="002F2E48"/>
    <w:rsid w:val="002F50FA"/>
    <w:rsid w:val="003077E6"/>
    <w:rsid w:val="003141B9"/>
    <w:rsid w:val="00326485"/>
    <w:rsid w:val="00341A88"/>
    <w:rsid w:val="00362400"/>
    <w:rsid w:val="00370833"/>
    <w:rsid w:val="003855E7"/>
    <w:rsid w:val="00393F36"/>
    <w:rsid w:val="003A79BA"/>
    <w:rsid w:val="003B09CD"/>
    <w:rsid w:val="003B2EB7"/>
    <w:rsid w:val="003B385F"/>
    <w:rsid w:val="003B5716"/>
    <w:rsid w:val="003C0330"/>
    <w:rsid w:val="003C25DC"/>
    <w:rsid w:val="003C2938"/>
    <w:rsid w:val="003D6047"/>
    <w:rsid w:val="003E2DD2"/>
    <w:rsid w:val="003E67E2"/>
    <w:rsid w:val="003E6FD8"/>
    <w:rsid w:val="00403292"/>
    <w:rsid w:val="00411861"/>
    <w:rsid w:val="00437375"/>
    <w:rsid w:val="0043749F"/>
    <w:rsid w:val="00440B9B"/>
    <w:rsid w:val="004450A7"/>
    <w:rsid w:val="00453C44"/>
    <w:rsid w:val="00456A5D"/>
    <w:rsid w:val="004578EC"/>
    <w:rsid w:val="00463504"/>
    <w:rsid w:val="00480CD5"/>
    <w:rsid w:val="004A0BB8"/>
    <w:rsid w:val="004A463D"/>
    <w:rsid w:val="004B74AE"/>
    <w:rsid w:val="004D24C1"/>
    <w:rsid w:val="004D6F05"/>
    <w:rsid w:val="004D7794"/>
    <w:rsid w:val="004E2FD4"/>
    <w:rsid w:val="004E3D05"/>
    <w:rsid w:val="004F2F48"/>
    <w:rsid w:val="004F745A"/>
    <w:rsid w:val="00502FC8"/>
    <w:rsid w:val="00513761"/>
    <w:rsid w:val="005279A9"/>
    <w:rsid w:val="00527BEB"/>
    <w:rsid w:val="005354BC"/>
    <w:rsid w:val="00544DA3"/>
    <w:rsid w:val="00545D6E"/>
    <w:rsid w:val="0054615A"/>
    <w:rsid w:val="0054720B"/>
    <w:rsid w:val="00555A5B"/>
    <w:rsid w:val="005578C9"/>
    <w:rsid w:val="00563F93"/>
    <w:rsid w:val="0056569E"/>
    <w:rsid w:val="00565EFD"/>
    <w:rsid w:val="0056679A"/>
    <w:rsid w:val="00571301"/>
    <w:rsid w:val="00575725"/>
    <w:rsid w:val="0059224C"/>
    <w:rsid w:val="00597808"/>
    <w:rsid w:val="00597941"/>
    <w:rsid w:val="005B3BB7"/>
    <w:rsid w:val="005B68F4"/>
    <w:rsid w:val="005C08A9"/>
    <w:rsid w:val="005C560F"/>
    <w:rsid w:val="005D7390"/>
    <w:rsid w:val="005E6B53"/>
    <w:rsid w:val="005F3D91"/>
    <w:rsid w:val="00600156"/>
    <w:rsid w:val="00606174"/>
    <w:rsid w:val="00627567"/>
    <w:rsid w:val="00644E8B"/>
    <w:rsid w:val="006450C5"/>
    <w:rsid w:val="006453A2"/>
    <w:rsid w:val="00651635"/>
    <w:rsid w:val="006664F9"/>
    <w:rsid w:val="00672422"/>
    <w:rsid w:val="0067394A"/>
    <w:rsid w:val="00676602"/>
    <w:rsid w:val="00680770"/>
    <w:rsid w:val="00682B58"/>
    <w:rsid w:val="0069288A"/>
    <w:rsid w:val="006A42AD"/>
    <w:rsid w:val="006B0163"/>
    <w:rsid w:val="006D17BB"/>
    <w:rsid w:val="006E00BC"/>
    <w:rsid w:val="006E3101"/>
    <w:rsid w:val="006E3DD3"/>
    <w:rsid w:val="006F1634"/>
    <w:rsid w:val="006F5665"/>
    <w:rsid w:val="006F5901"/>
    <w:rsid w:val="006F73AE"/>
    <w:rsid w:val="00707CDB"/>
    <w:rsid w:val="007149C6"/>
    <w:rsid w:val="00716F9B"/>
    <w:rsid w:val="007170F7"/>
    <w:rsid w:val="007203F9"/>
    <w:rsid w:val="0072192B"/>
    <w:rsid w:val="00737527"/>
    <w:rsid w:val="00754545"/>
    <w:rsid w:val="00784F5B"/>
    <w:rsid w:val="00785314"/>
    <w:rsid w:val="00793E61"/>
    <w:rsid w:val="007A33BF"/>
    <w:rsid w:val="007A59C9"/>
    <w:rsid w:val="007B1945"/>
    <w:rsid w:val="007B1D99"/>
    <w:rsid w:val="007B7745"/>
    <w:rsid w:val="007C0696"/>
    <w:rsid w:val="007C0AD4"/>
    <w:rsid w:val="007C0DA2"/>
    <w:rsid w:val="007C3FFF"/>
    <w:rsid w:val="007C5338"/>
    <w:rsid w:val="007D7A3C"/>
    <w:rsid w:val="007E1B28"/>
    <w:rsid w:val="007E20C3"/>
    <w:rsid w:val="007E4703"/>
    <w:rsid w:val="007E4C71"/>
    <w:rsid w:val="007E7A8D"/>
    <w:rsid w:val="007F2625"/>
    <w:rsid w:val="007F73AC"/>
    <w:rsid w:val="008012FA"/>
    <w:rsid w:val="008025EE"/>
    <w:rsid w:val="008041EF"/>
    <w:rsid w:val="00813632"/>
    <w:rsid w:val="00822185"/>
    <w:rsid w:val="00825BA2"/>
    <w:rsid w:val="00834BBE"/>
    <w:rsid w:val="00840396"/>
    <w:rsid w:val="00840D7A"/>
    <w:rsid w:val="00842042"/>
    <w:rsid w:val="00850202"/>
    <w:rsid w:val="008557AC"/>
    <w:rsid w:val="0085796D"/>
    <w:rsid w:val="00867849"/>
    <w:rsid w:val="008A0C4E"/>
    <w:rsid w:val="008A67CF"/>
    <w:rsid w:val="008D0B25"/>
    <w:rsid w:val="008E57A0"/>
    <w:rsid w:val="008F2866"/>
    <w:rsid w:val="008F2A22"/>
    <w:rsid w:val="008F7473"/>
    <w:rsid w:val="009109E2"/>
    <w:rsid w:val="00912922"/>
    <w:rsid w:val="009323EA"/>
    <w:rsid w:val="00932478"/>
    <w:rsid w:val="009326EA"/>
    <w:rsid w:val="0094712C"/>
    <w:rsid w:val="00947664"/>
    <w:rsid w:val="00971FC6"/>
    <w:rsid w:val="00981389"/>
    <w:rsid w:val="00991BB2"/>
    <w:rsid w:val="00992F57"/>
    <w:rsid w:val="00995076"/>
    <w:rsid w:val="009A584D"/>
    <w:rsid w:val="009D08D9"/>
    <w:rsid w:val="009D2694"/>
    <w:rsid w:val="009D44B6"/>
    <w:rsid w:val="009F0EA9"/>
    <w:rsid w:val="009F72A6"/>
    <w:rsid w:val="00A023A3"/>
    <w:rsid w:val="00A02D87"/>
    <w:rsid w:val="00A03AE6"/>
    <w:rsid w:val="00A05E95"/>
    <w:rsid w:val="00A157FD"/>
    <w:rsid w:val="00A17B12"/>
    <w:rsid w:val="00A30A97"/>
    <w:rsid w:val="00A31DD3"/>
    <w:rsid w:val="00A503C2"/>
    <w:rsid w:val="00A52BE0"/>
    <w:rsid w:val="00A54DED"/>
    <w:rsid w:val="00A560D9"/>
    <w:rsid w:val="00A7259D"/>
    <w:rsid w:val="00A85763"/>
    <w:rsid w:val="00A858D8"/>
    <w:rsid w:val="00A85D90"/>
    <w:rsid w:val="00A86C9E"/>
    <w:rsid w:val="00A912EA"/>
    <w:rsid w:val="00A94259"/>
    <w:rsid w:val="00AA2C9D"/>
    <w:rsid w:val="00AC584E"/>
    <w:rsid w:val="00AE3849"/>
    <w:rsid w:val="00B0293A"/>
    <w:rsid w:val="00B03F1B"/>
    <w:rsid w:val="00B05A86"/>
    <w:rsid w:val="00B107A0"/>
    <w:rsid w:val="00B11B6F"/>
    <w:rsid w:val="00B1315B"/>
    <w:rsid w:val="00B4208B"/>
    <w:rsid w:val="00B45512"/>
    <w:rsid w:val="00B53ABA"/>
    <w:rsid w:val="00B56F06"/>
    <w:rsid w:val="00B636DF"/>
    <w:rsid w:val="00B641BB"/>
    <w:rsid w:val="00B73BE5"/>
    <w:rsid w:val="00B75D02"/>
    <w:rsid w:val="00B8366C"/>
    <w:rsid w:val="00B84A1C"/>
    <w:rsid w:val="00B86714"/>
    <w:rsid w:val="00B908EC"/>
    <w:rsid w:val="00BA19ED"/>
    <w:rsid w:val="00BA26F5"/>
    <w:rsid w:val="00BA7686"/>
    <w:rsid w:val="00BB4476"/>
    <w:rsid w:val="00BB600B"/>
    <w:rsid w:val="00BC447E"/>
    <w:rsid w:val="00BD2678"/>
    <w:rsid w:val="00BD28FB"/>
    <w:rsid w:val="00BD2F1E"/>
    <w:rsid w:val="00BD4171"/>
    <w:rsid w:val="00BE0739"/>
    <w:rsid w:val="00BE715A"/>
    <w:rsid w:val="00BF7439"/>
    <w:rsid w:val="00C0011A"/>
    <w:rsid w:val="00C0012D"/>
    <w:rsid w:val="00C01EA5"/>
    <w:rsid w:val="00C038DD"/>
    <w:rsid w:val="00C20DD7"/>
    <w:rsid w:val="00C316E0"/>
    <w:rsid w:val="00C412B1"/>
    <w:rsid w:val="00C466C8"/>
    <w:rsid w:val="00C52F68"/>
    <w:rsid w:val="00C5397A"/>
    <w:rsid w:val="00C63BF2"/>
    <w:rsid w:val="00C6598D"/>
    <w:rsid w:val="00C72E38"/>
    <w:rsid w:val="00C741DF"/>
    <w:rsid w:val="00C84F90"/>
    <w:rsid w:val="00C927E6"/>
    <w:rsid w:val="00C97D76"/>
    <w:rsid w:val="00CA26E3"/>
    <w:rsid w:val="00CB5F84"/>
    <w:rsid w:val="00CB6829"/>
    <w:rsid w:val="00CB7A1B"/>
    <w:rsid w:val="00CC350C"/>
    <w:rsid w:val="00CC65B4"/>
    <w:rsid w:val="00CD2FAE"/>
    <w:rsid w:val="00CD3C70"/>
    <w:rsid w:val="00CE30D2"/>
    <w:rsid w:val="00D123FB"/>
    <w:rsid w:val="00D152E7"/>
    <w:rsid w:val="00D165B4"/>
    <w:rsid w:val="00D167A9"/>
    <w:rsid w:val="00D20CAA"/>
    <w:rsid w:val="00D2774A"/>
    <w:rsid w:val="00D32210"/>
    <w:rsid w:val="00D35C96"/>
    <w:rsid w:val="00D61CDA"/>
    <w:rsid w:val="00D67287"/>
    <w:rsid w:val="00D71210"/>
    <w:rsid w:val="00D84508"/>
    <w:rsid w:val="00D933F9"/>
    <w:rsid w:val="00DA1BFA"/>
    <w:rsid w:val="00DA2425"/>
    <w:rsid w:val="00DA29A1"/>
    <w:rsid w:val="00DA70DC"/>
    <w:rsid w:val="00DB0AAC"/>
    <w:rsid w:val="00DB2474"/>
    <w:rsid w:val="00DC360E"/>
    <w:rsid w:val="00DC6916"/>
    <w:rsid w:val="00DD4D84"/>
    <w:rsid w:val="00DF605E"/>
    <w:rsid w:val="00E05AE8"/>
    <w:rsid w:val="00E233E1"/>
    <w:rsid w:val="00E24F8E"/>
    <w:rsid w:val="00E268CE"/>
    <w:rsid w:val="00E44415"/>
    <w:rsid w:val="00E4598D"/>
    <w:rsid w:val="00E45E94"/>
    <w:rsid w:val="00E6235A"/>
    <w:rsid w:val="00E73F6D"/>
    <w:rsid w:val="00E74762"/>
    <w:rsid w:val="00E7750A"/>
    <w:rsid w:val="00E80532"/>
    <w:rsid w:val="00E85953"/>
    <w:rsid w:val="00E94A17"/>
    <w:rsid w:val="00E978A0"/>
    <w:rsid w:val="00EA7095"/>
    <w:rsid w:val="00EB561D"/>
    <w:rsid w:val="00EB5B6F"/>
    <w:rsid w:val="00EC3AE9"/>
    <w:rsid w:val="00ED12AF"/>
    <w:rsid w:val="00EE075A"/>
    <w:rsid w:val="00EF2640"/>
    <w:rsid w:val="00F00E50"/>
    <w:rsid w:val="00F04626"/>
    <w:rsid w:val="00F04EE0"/>
    <w:rsid w:val="00F11B3B"/>
    <w:rsid w:val="00F172DB"/>
    <w:rsid w:val="00F2375D"/>
    <w:rsid w:val="00F24BE8"/>
    <w:rsid w:val="00F31D31"/>
    <w:rsid w:val="00F33E4E"/>
    <w:rsid w:val="00F3459E"/>
    <w:rsid w:val="00F37205"/>
    <w:rsid w:val="00F4023B"/>
    <w:rsid w:val="00F446E5"/>
    <w:rsid w:val="00F46627"/>
    <w:rsid w:val="00F52A50"/>
    <w:rsid w:val="00F544FB"/>
    <w:rsid w:val="00F5509D"/>
    <w:rsid w:val="00F5622A"/>
    <w:rsid w:val="00F65DB4"/>
    <w:rsid w:val="00F7306A"/>
    <w:rsid w:val="00F75853"/>
    <w:rsid w:val="00F7655A"/>
    <w:rsid w:val="00FB399E"/>
    <w:rsid w:val="00FC47B2"/>
    <w:rsid w:val="00FD5BF2"/>
    <w:rsid w:val="00FE1976"/>
    <w:rsid w:val="00FE2E92"/>
    <w:rsid w:val="00FE33DD"/>
    <w:rsid w:val="00FE7B7E"/>
    <w:rsid w:val="01B122EB"/>
    <w:rsid w:val="02F67DA7"/>
    <w:rsid w:val="038429B3"/>
    <w:rsid w:val="03B32B6B"/>
    <w:rsid w:val="047A0047"/>
    <w:rsid w:val="058D3972"/>
    <w:rsid w:val="06953E99"/>
    <w:rsid w:val="07081B5F"/>
    <w:rsid w:val="0785754D"/>
    <w:rsid w:val="0A9D172B"/>
    <w:rsid w:val="0B29214C"/>
    <w:rsid w:val="0BE464C2"/>
    <w:rsid w:val="0E8550A2"/>
    <w:rsid w:val="0F0218B9"/>
    <w:rsid w:val="0FB41300"/>
    <w:rsid w:val="13831228"/>
    <w:rsid w:val="17634588"/>
    <w:rsid w:val="18923550"/>
    <w:rsid w:val="18A961DF"/>
    <w:rsid w:val="196A34FA"/>
    <w:rsid w:val="1A090F08"/>
    <w:rsid w:val="1A2E09E0"/>
    <w:rsid w:val="1B5E4B86"/>
    <w:rsid w:val="1C136A6E"/>
    <w:rsid w:val="1C222F92"/>
    <w:rsid w:val="1D25013A"/>
    <w:rsid w:val="1DEE05FE"/>
    <w:rsid w:val="1F0A68D4"/>
    <w:rsid w:val="217F0516"/>
    <w:rsid w:val="219D6EB2"/>
    <w:rsid w:val="2387038D"/>
    <w:rsid w:val="23CD5AAE"/>
    <w:rsid w:val="23F473E9"/>
    <w:rsid w:val="23FA2C9E"/>
    <w:rsid w:val="250E042B"/>
    <w:rsid w:val="268708A7"/>
    <w:rsid w:val="26DB0A3B"/>
    <w:rsid w:val="26F1502B"/>
    <w:rsid w:val="273C0C71"/>
    <w:rsid w:val="274312A0"/>
    <w:rsid w:val="277327DA"/>
    <w:rsid w:val="27FB734B"/>
    <w:rsid w:val="29226266"/>
    <w:rsid w:val="2F160ACA"/>
    <w:rsid w:val="2FAD5845"/>
    <w:rsid w:val="306821AC"/>
    <w:rsid w:val="316234ED"/>
    <w:rsid w:val="316811BD"/>
    <w:rsid w:val="323679E9"/>
    <w:rsid w:val="329A3B31"/>
    <w:rsid w:val="33EB5D2E"/>
    <w:rsid w:val="35DA2722"/>
    <w:rsid w:val="36695DF5"/>
    <w:rsid w:val="36DE06DF"/>
    <w:rsid w:val="39440AF4"/>
    <w:rsid w:val="3C2854E9"/>
    <w:rsid w:val="3C8C5DCF"/>
    <w:rsid w:val="3C926A79"/>
    <w:rsid w:val="3D490674"/>
    <w:rsid w:val="3DF87D78"/>
    <w:rsid w:val="3F7608B5"/>
    <w:rsid w:val="40F3502D"/>
    <w:rsid w:val="41003FBA"/>
    <w:rsid w:val="410A65F1"/>
    <w:rsid w:val="44466A24"/>
    <w:rsid w:val="445C00FF"/>
    <w:rsid w:val="44CF341A"/>
    <w:rsid w:val="464043DC"/>
    <w:rsid w:val="48654B77"/>
    <w:rsid w:val="49962D8A"/>
    <w:rsid w:val="499E1082"/>
    <w:rsid w:val="4B8B7843"/>
    <w:rsid w:val="4C8F5FD1"/>
    <w:rsid w:val="4D4174EF"/>
    <w:rsid w:val="50395ABF"/>
    <w:rsid w:val="504E1512"/>
    <w:rsid w:val="50632262"/>
    <w:rsid w:val="50C64DEF"/>
    <w:rsid w:val="51124701"/>
    <w:rsid w:val="529E1016"/>
    <w:rsid w:val="52F103A6"/>
    <w:rsid w:val="5411606B"/>
    <w:rsid w:val="55AC1F19"/>
    <w:rsid w:val="56815ACA"/>
    <w:rsid w:val="56942A26"/>
    <w:rsid w:val="56BB5C40"/>
    <w:rsid w:val="57B171F6"/>
    <w:rsid w:val="58054066"/>
    <w:rsid w:val="585F01C6"/>
    <w:rsid w:val="58AB3BD6"/>
    <w:rsid w:val="59170F15"/>
    <w:rsid w:val="5AD66364"/>
    <w:rsid w:val="5DE857BB"/>
    <w:rsid w:val="5EAA6B09"/>
    <w:rsid w:val="5ED31816"/>
    <w:rsid w:val="606536C0"/>
    <w:rsid w:val="60810F42"/>
    <w:rsid w:val="62AE1E04"/>
    <w:rsid w:val="633F11E7"/>
    <w:rsid w:val="63F21DB5"/>
    <w:rsid w:val="67E1098B"/>
    <w:rsid w:val="687B6B7D"/>
    <w:rsid w:val="698E33C2"/>
    <w:rsid w:val="6A6F0DDF"/>
    <w:rsid w:val="6A987BC0"/>
    <w:rsid w:val="6AE57550"/>
    <w:rsid w:val="6B3E6698"/>
    <w:rsid w:val="6F0A7598"/>
    <w:rsid w:val="6F357FFB"/>
    <w:rsid w:val="706758AC"/>
    <w:rsid w:val="710017DE"/>
    <w:rsid w:val="73072029"/>
    <w:rsid w:val="742A7E3E"/>
    <w:rsid w:val="75397146"/>
    <w:rsid w:val="75497CA3"/>
    <w:rsid w:val="76DA0591"/>
    <w:rsid w:val="77C33D3D"/>
    <w:rsid w:val="77D57445"/>
    <w:rsid w:val="7B263A02"/>
    <w:rsid w:val="7B291D79"/>
    <w:rsid w:val="7B3472CB"/>
    <w:rsid w:val="7C1D27CD"/>
    <w:rsid w:val="7C636967"/>
    <w:rsid w:val="7D5E131F"/>
    <w:rsid w:val="7D6531A0"/>
    <w:rsid w:val="7D6A60B8"/>
    <w:rsid w:val="7E0A2DA9"/>
    <w:rsid w:val="7E4C537C"/>
    <w:rsid w:val="7E873E5A"/>
    <w:rsid w:val="7F997F0E"/>
    <w:rsid w:val="7FB4463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semiHidden="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qFormat="1"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semiHidden="0"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2"/>
    <w:basedOn w:val="1"/>
    <w:next w:val="1"/>
    <w:autoRedefine/>
    <w:unhideWhenUsed/>
    <w:qFormat/>
    <w:locked/>
    <w:uiPriority w:val="0"/>
    <w:pPr>
      <w:keepNext/>
      <w:keepLines/>
      <w:spacing w:before="260" w:after="260" w:line="413" w:lineRule="auto"/>
      <w:outlineLvl w:val="1"/>
    </w:pPr>
    <w:rPr>
      <w:rFonts w:ascii="Arial" w:hAnsi="Arial" w:eastAsia="黑体"/>
      <w:b/>
      <w:sz w:val="32"/>
    </w:rPr>
  </w:style>
  <w:style w:type="character" w:default="1" w:styleId="15">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24"/>
    <w:autoRedefine/>
    <w:unhideWhenUsed/>
    <w:qFormat/>
    <w:uiPriority w:val="99"/>
    <w:pPr>
      <w:jc w:val="left"/>
    </w:pPr>
  </w:style>
  <w:style w:type="paragraph" w:styleId="4">
    <w:name w:val="Body Text"/>
    <w:basedOn w:val="1"/>
    <w:autoRedefine/>
    <w:qFormat/>
    <w:uiPriority w:val="0"/>
    <w:pPr>
      <w:ind w:left="520"/>
    </w:pPr>
  </w:style>
  <w:style w:type="paragraph" w:styleId="5">
    <w:name w:val="Plain Text"/>
    <w:basedOn w:val="1"/>
    <w:link w:val="33"/>
    <w:autoRedefine/>
    <w:qFormat/>
    <w:uiPriority w:val="99"/>
    <w:rPr>
      <w:rFonts w:hAnsi="Courier New" w:cs="Courier New" w:asciiTheme="minorHAnsi" w:eastAsiaTheme="minorEastAsia"/>
    </w:rPr>
  </w:style>
  <w:style w:type="paragraph" w:styleId="6">
    <w:name w:val="Balloon Text"/>
    <w:basedOn w:val="1"/>
    <w:link w:val="26"/>
    <w:autoRedefine/>
    <w:unhideWhenUsed/>
    <w:qFormat/>
    <w:uiPriority w:val="99"/>
    <w:rPr>
      <w:sz w:val="18"/>
      <w:szCs w:val="18"/>
    </w:rPr>
  </w:style>
  <w:style w:type="paragraph" w:styleId="7">
    <w:name w:val="footer"/>
    <w:basedOn w:val="1"/>
    <w:link w:val="21"/>
    <w:autoRedefine/>
    <w:semiHidden/>
    <w:qFormat/>
    <w:uiPriority w:val="99"/>
    <w:pPr>
      <w:tabs>
        <w:tab w:val="center" w:pos="4153"/>
        <w:tab w:val="right" w:pos="8306"/>
      </w:tabs>
      <w:snapToGrid w:val="0"/>
      <w:jc w:val="left"/>
    </w:pPr>
    <w:rPr>
      <w:rFonts w:ascii="Calibri" w:hAnsi="Calibri"/>
      <w:kern w:val="0"/>
      <w:sz w:val="18"/>
      <w:szCs w:val="18"/>
    </w:rPr>
  </w:style>
  <w:style w:type="paragraph" w:styleId="8">
    <w:name w:val="header"/>
    <w:basedOn w:val="1"/>
    <w:link w:val="20"/>
    <w:autoRedefine/>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9">
    <w:name w:val="toc 6"/>
    <w:basedOn w:val="1"/>
    <w:next w:val="1"/>
    <w:autoRedefine/>
    <w:qFormat/>
    <w:locked/>
    <w:uiPriority w:val="0"/>
    <w:pPr>
      <w:autoSpaceDE/>
      <w:autoSpaceDN/>
      <w:adjustRightInd/>
      <w:ind w:left="2100" w:leftChars="1000"/>
      <w:jc w:val="both"/>
    </w:pPr>
    <w:rPr>
      <w:kern w:val="2"/>
      <w:sz w:val="21"/>
      <w:szCs w:val="22"/>
    </w:rPr>
  </w:style>
  <w:style w:type="paragraph" w:styleId="10">
    <w:name w:val="Normal (Web)"/>
    <w:basedOn w:val="1"/>
    <w:autoRedefine/>
    <w:unhideWhenUsed/>
    <w:qFormat/>
    <w:uiPriority w:val="99"/>
    <w:pPr>
      <w:spacing w:beforeAutospacing="1" w:afterAutospacing="1"/>
      <w:jc w:val="left"/>
    </w:pPr>
    <w:rPr>
      <w:kern w:val="0"/>
      <w:sz w:val="24"/>
    </w:rPr>
  </w:style>
  <w:style w:type="paragraph" w:styleId="11">
    <w:name w:val="Title"/>
    <w:basedOn w:val="1"/>
    <w:next w:val="1"/>
    <w:link w:val="31"/>
    <w:autoRedefine/>
    <w:qFormat/>
    <w:locked/>
    <w:uiPriority w:val="0"/>
    <w:pPr>
      <w:spacing w:before="240" w:after="60"/>
      <w:jc w:val="center"/>
      <w:outlineLvl w:val="0"/>
    </w:pPr>
    <w:rPr>
      <w:rFonts w:ascii="Cambria" w:hAnsi="Cambria"/>
      <w:b/>
      <w:bCs/>
      <w:sz w:val="32"/>
      <w:szCs w:val="32"/>
    </w:rPr>
  </w:style>
  <w:style w:type="paragraph" w:styleId="12">
    <w:name w:val="annotation subject"/>
    <w:basedOn w:val="3"/>
    <w:next w:val="3"/>
    <w:link w:val="25"/>
    <w:autoRedefine/>
    <w:unhideWhenUsed/>
    <w:qFormat/>
    <w:uiPriority w:val="99"/>
    <w:rPr>
      <w:b/>
      <w:bCs/>
    </w:rPr>
  </w:style>
  <w:style w:type="paragraph" w:styleId="13">
    <w:name w:val="Body Text First Indent"/>
    <w:basedOn w:val="4"/>
    <w:autoRedefine/>
    <w:qFormat/>
    <w:uiPriority w:val="0"/>
    <w:pPr>
      <w:tabs>
        <w:tab w:val="left" w:pos="9360"/>
      </w:tabs>
      <w:adjustRightInd/>
      <w:ind w:firstLine="420" w:firstLineChars="100"/>
    </w:pPr>
    <w:rPr>
      <w:sz w:val="21"/>
    </w:rPr>
  </w:style>
  <w:style w:type="character" w:styleId="16">
    <w:name w:val="annotation reference"/>
    <w:autoRedefine/>
    <w:unhideWhenUsed/>
    <w:qFormat/>
    <w:uiPriority w:val="99"/>
    <w:rPr>
      <w:sz w:val="21"/>
      <w:szCs w:val="21"/>
    </w:rPr>
  </w:style>
  <w:style w:type="paragraph" w:customStyle="1" w:styleId="17">
    <w:name w:val="BodyText1I2"/>
    <w:basedOn w:val="18"/>
    <w:autoRedefine/>
    <w:qFormat/>
    <w:uiPriority w:val="0"/>
    <w:pPr>
      <w:spacing w:after="120"/>
      <w:ind w:left="420" w:leftChars="200"/>
    </w:pPr>
    <w:rPr>
      <w:szCs w:val="24"/>
    </w:rPr>
  </w:style>
  <w:style w:type="paragraph" w:customStyle="1" w:styleId="18">
    <w:name w:val="BodyTextIndent"/>
    <w:basedOn w:val="1"/>
    <w:next w:val="1"/>
    <w:autoRedefine/>
    <w:qFormat/>
    <w:uiPriority w:val="0"/>
    <w:pPr>
      <w:ind w:firstLine="420"/>
    </w:pPr>
    <w:rPr>
      <w:sz w:val="24"/>
      <w:szCs w:val="20"/>
    </w:rPr>
  </w:style>
  <w:style w:type="paragraph" w:styleId="19">
    <w:name w:val="List Paragraph"/>
    <w:basedOn w:val="1"/>
    <w:autoRedefine/>
    <w:qFormat/>
    <w:uiPriority w:val="0"/>
  </w:style>
  <w:style w:type="character" w:customStyle="1" w:styleId="20">
    <w:name w:val="页眉 字符"/>
    <w:link w:val="8"/>
    <w:autoRedefine/>
    <w:semiHidden/>
    <w:qFormat/>
    <w:locked/>
    <w:uiPriority w:val="99"/>
    <w:rPr>
      <w:sz w:val="18"/>
      <w:szCs w:val="18"/>
    </w:rPr>
  </w:style>
  <w:style w:type="character" w:customStyle="1" w:styleId="21">
    <w:name w:val="页脚 字符"/>
    <w:link w:val="7"/>
    <w:autoRedefine/>
    <w:semiHidden/>
    <w:qFormat/>
    <w:locked/>
    <w:uiPriority w:val="99"/>
    <w:rPr>
      <w:sz w:val="18"/>
      <w:szCs w:val="18"/>
    </w:rPr>
  </w:style>
  <w:style w:type="paragraph" w:customStyle="1" w:styleId="22">
    <w:name w:val="列出段落1"/>
    <w:basedOn w:val="1"/>
    <w:autoRedefine/>
    <w:qFormat/>
    <w:uiPriority w:val="34"/>
    <w:pPr>
      <w:ind w:firstLine="420" w:firstLineChars="200"/>
    </w:pPr>
    <w:rPr>
      <w:rFonts w:ascii="Calibri" w:hAnsi="Calibri" w:cs="Calibri"/>
    </w:rPr>
  </w:style>
  <w:style w:type="paragraph" w:customStyle="1" w:styleId="23">
    <w:name w:val="列出段落11"/>
    <w:basedOn w:val="1"/>
    <w:autoRedefine/>
    <w:qFormat/>
    <w:uiPriority w:val="34"/>
    <w:pPr>
      <w:ind w:firstLine="420" w:firstLineChars="200"/>
    </w:pPr>
    <w:rPr>
      <w:rFonts w:ascii="Calibri" w:hAnsi="Calibri" w:cs="Calibri"/>
    </w:rPr>
  </w:style>
  <w:style w:type="character" w:customStyle="1" w:styleId="24">
    <w:name w:val="批注文字 字符"/>
    <w:link w:val="3"/>
    <w:autoRedefine/>
    <w:semiHidden/>
    <w:qFormat/>
    <w:uiPriority w:val="99"/>
    <w:rPr>
      <w:rFonts w:ascii="Times New Roman" w:hAnsi="Times New Roman"/>
      <w:kern w:val="2"/>
      <w:sz w:val="21"/>
      <w:szCs w:val="21"/>
    </w:rPr>
  </w:style>
  <w:style w:type="character" w:customStyle="1" w:styleId="25">
    <w:name w:val="批注主题 字符"/>
    <w:link w:val="12"/>
    <w:autoRedefine/>
    <w:semiHidden/>
    <w:qFormat/>
    <w:uiPriority w:val="99"/>
    <w:rPr>
      <w:rFonts w:ascii="Times New Roman" w:hAnsi="Times New Roman"/>
      <w:b/>
      <w:bCs/>
      <w:kern w:val="2"/>
      <w:sz w:val="21"/>
      <w:szCs w:val="21"/>
    </w:rPr>
  </w:style>
  <w:style w:type="character" w:customStyle="1" w:styleId="26">
    <w:name w:val="批注框文本 字符"/>
    <w:link w:val="6"/>
    <w:autoRedefine/>
    <w:semiHidden/>
    <w:qFormat/>
    <w:uiPriority w:val="99"/>
    <w:rPr>
      <w:rFonts w:ascii="Times New Roman" w:hAnsi="Times New Roman"/>
      <w:kern w:val="2"/>
      <w:sz w:val="18"/>
      <w:szCs w:val="18"/>
    </w:rPr>
  </w:style>
  <w:style w:type="character" w:customStyle="1" w:styleId="27">
    <w:name w:val="bulletintext"/>
    <w:basedOn w:val="15"/>
    <w:autoRedefine/>
    <w:qFormat/>
    <w:uiPriority w:val="0"/>
  </w:style>
  <w:style w:type="paragraph" w:customStyle="1" w:styleId="28">
    <w:name w:val="样式1"/>
    <w:basedOn w:val="1"/>
    <w:autoRedefine/>
    <w:qFormat/>
    <w:uiPriority w:val="0"/>
    <w:pPr>
      <w:ind w:left="420" w:leftChars="200" w:firstLine="720" w:firstLineChars="200"/>
      <w:jc w:val="left"/>
    </w:pPr>
  </w:style>
  <w:style w:type="paragraph" w:customStyle="1" w:styleId="29">
    <w:name w:val="样式2"/>
    <w:basedOn w:val="1"/>
    <w:autoRedefine/>
    <w:qFormat/>
    <w:uiPriority w:val="0"/>
    <w:pPr>
      <w:ind w:left="420" w:leftChars="200" w:firstLine="720" w:firstLineChars="200"/>
    </w:pPr>
  </w:style>
  <w:style w:type="character" w:customStyle="1" w:styleId="30">
    <w:name w:val="标题 字符"/>
    <w:autoRedefine/>
    <w:qFormat/>
    <w:uiPriority w:val="0"/>
    <w:rPr>
      <w:rFonts w:ascii="Cambria" w:hAnsi="Cambria" w:cs="Times New Roman"/>
      <w:b/>
      <w:bCs/>
      <w:kern w:val="2"/>
      <w:sz w:val="32"/>
      <w:szCs w:val="32"/>
    </w:rPr>
  </w:style>
  <w:style w:type="character" w:customStyle="1" w:styleId="31">
    <w:name w:val="标题 字符1"/>
    <w:link w:val="11"/>
    <w:autoRedefine/>
    <w:qFormat/>
    <w:uiPriority w:val="0"/>
    <w:rPr>
      <w:rFonts w:ascii="Cambria" w:hAnsi="Cambria"/>
      <w:b/>
      <w:bCs/>
      <w:kern w:val="2"/>
      <w:sz w:val="32"/>
      <w:szCs w:val="32"/>
    </w:rPr>
  </w:style>
  <w:style w:type="paragraph" w:customStyle="1" w:styleId="32">
    <w:name w:val="默认段落字体 Para Char"/>
    <w:basedOn w:val="1"/>
    <w:autoRedefine/>
    <w:qFormat/>
    <w:uiPriority w:val="0"/>
    <w:pPr>
      <w:numPr>
        <w:ilvl w:val="0"/>
        <w:numId w:val="1"/>
      </w:numPr>
    </w:pPr>
    <w:rPr>
      <w:szCs w:val="24"/>
    </w:rPr>
  </w:style>
  <w:style w:type="character" w:customStyle="1" w:styleId="33">
    <w:name w:val="纯文本 字符"/>
    <w:basedOn w:val="15"/>
    <w:link w:val="5"/>
    <w:autoRedefine/>
    <w:qFormat/>
    <w:uiPriority w:val="99"/>
    <w:rPr>
      <w:rFonts w:hAnsi="Courier New" w:cs="Courier New" w:asciiTheme="minorHAnsi" w:eastAsiaTheme="minorEastAsia"/>
      <w:kern w:val="2"/>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23CD9B-8F67-4E2A-A07A-735BF743C809}">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2660</Words>
  <Characters>2918</Characters>
  <Lines>95</Lines>
  <Paragraphs>26</Paragraphs>
  <TotalTime>2</TotalTime>
  <ScaleCrop>false</ScaleCrop>
  <LinksUpToDate>false</LinksUpToDate>
  <CharactersWithSpaces>2921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2019-07-30T13:30:00Z</dcterms:created>
  <dc:creator>微软用户</dc:creator>
  <cp:lastModifiedBy>浮躁的年代</cp:lastModifiedBy>
  <cp:lastPrinted>2024-03-22T06:34:00Z</cp:lastPrinted>
  <dcterms:modified xsi:type="dcterms:W3CDTF">2026-03-31T08:04:36Z</dcterms:modified>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429643278B384646AA50847C00F82429</vt:lpwstr>
  </property>
  <property fmtid="{D5CDD505-2E9C-101B-9397-08002B2CF9AE}" pid="4" name="KSOTemplateDocerSaveRecord">
    <vt:lpwstr>eyJoZGlkIjoiM2M0ZDNhYTgyN2Q4MWU1OGFmMjBjYjJiYjY5ZDkwMjciLCJ1c2VySWQiOiIzMjgzMDE5OTkifQ==</vt:lpwstr>
  </property>
</Properties>
</file>