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F8714">
      <w:pPr>
        <w:spacing w:line="360" w:lineRule="auto"/>
        <w:rPr>
          <w:rFonts w:hint="eastAsia"/>
          <w:sz w:val="32"/>
          <w:szCs w:val="32"/>
          <w:highlight w:val="none"/>
        </w:rPr>
      </w:pPr>
      <w:r>
        <w:rPr>
          <w:rFonts w:hint="eastAsia"/>
          <w:szCs w:val="21"/>
          <w:highlight w:val="none"/>
        </w:rPr>
        <w:t>附件2</w:t>
      </w:r>
    </w:p>
    <w:p w14:paraId="522FC846">
      <w:pPr>
        <w:spacing w:line="360" w:lineRule="auto"/>
        <w:jc w:val="center"/>
        <w:rPr>
          <w:rFonts w:hint="eastAsia"/>
          <w:sz w:val="32"/>
          <w:szCs w:val="32"/>
          <w:highlight w:val="none"/>
        </w:rPr>
      </w:pPr>
      <w:r>
        <w:rPr>
          <w:rFonts w:hint="eastAsia"/>
          <w:sz w:val="32"/>
          <w:szCs w:val="32"/>
          <w:highlight w:val="none"/>
        </w:rPr>
        <w:t>工程量清单总说明</w:t>
      </w:r>
    </w:p>
    <w:p w14:paraId="6FAA59CA">
      <w:pPr>
        <w:spacing w:line="360" w:lineRule="auto"/>
        <w:jc w:val="center"/>
        <w:outlineLvl w:val="0"/>
        <w:rPr>
          <w:rFonts w:hint="eastAsia" w:ascii="方正小标宋简体" w:eastAsia="方正小标宋简体"/>
          <w:b/>
          <w:color w:val="FF0000"/>
          <w:sz w:val="28"/>
          <w:szCs w:val="28"/>
          <w:highlight w:val="none"/>
        </w:rPr>
      </w:pPr>
      <w:r>
        <w:rPr>
          <w:rFonts w:hint="eastAsia" w:ascii="方正小标宋简体" w:eastAsia="方正小标宋简体"/>
          <w:b/>
          <w:color w:val="FF0000"/>
          <w:sz w:val="28"/>
          <w:szCs w:val="28"/>
          <w:highlight w:val="none"/>
        </w:rPr>
        <w:t xml:space="preserve"> </w:t>
      </w:r>
    </w:p>
    <w:p w14:paraId="4456828A">
      <w:pPr>
        <w:numPr>
          <w:ilvl w:val="0"/>
          <w:numId w:val="1"/>
        </w:numPr>
        <w:tabs>
          <w:tab w:val="left" w:pos="1080"/>
          <w:tab w:val="left" w:pos="9180"/>
          <w:tab w:val="left" w:pos="9360"/>
        </w:tabs>
        <w:spacing w:line="360" w:lineRule="auto"/>
        <w:ind w:right="410" w:rightChars="171"/>
        <w:outlineLvl w:val="0"/>
        <w:rPr>
          <w:b/>
          <w:highlight w:val="none"/>
        </w:rPr>
      </w:pPr>
      <w:r>
        <w:rPr>
          <w:rFonts w:hint="eastAsia"/>
          <w:b/>
          <w:highlight w:val="none"/>
        </w:rPr>
        <w:t>工程概况</w:t>
      </w:r>
    </w:p>
    <w:p w14:paraId="2FD89336">
      <w:pPr>
        <w:tabs>
          <w:tab w:val="left" w:pos="900"/>
          <w:tab w:val="left" w:pos="9180"/>
          <w:tab w:val="left" w:pos="9360"/>
        </w:tabs>
        <w:spacing w:line="360" w:lineRule="auto"/>
        <w:ind w:firstLine="480" w:firstLineChars="200"/>
        <w:rPr>
          <w:rFonts w:hint="default"/>
          <w:highlight w:val="none"/>
          <w:lang w:val="en-US" w:eastAsia="zh-CN"/>
        </w:rPr>
      </w:pPr>
      <w:r>
        <w:rPr>
          <w:rFonts w:hint="eastAsia"/>
          <w:highlight w:val="none"/>
        </w:rPr>
        <w:t>1.工程名称：</w:t>
      </w:r>
      <w:bookmarkStart w:id="0" w:name="_GoBack"/>
      <w:bookmarkEnd w:id="0"/>
      <w:r>
        <w:rPr>
          <w:rFonts w:hint="eastAsia"/>
          <w:highlight w:val="none"/>
          <w:lang w:eastAsia="zh-CN"/>
        </w:rPr>
        <w:t>城西厂V型滤池修缮</w:t>
      </w:r>
      <w:r>
        <w:rPr>
          <w:rFonts w:hint="eastAsia"/>
          <w:highlight w:val="none"/>
          <w:lang w:val="en-US" w:eastAsia="zh-CN"/>
        </w:rPr>
        <w:t xml:space="preserve">                                            </w:t>
      </w:r>
    </w:p>
    <w:p w14:paraId="2D3700E0">
      <w:pPr>
        <w:tabs>
          <w:tab w:val="left" w:pos="900"/>
          <w:tab w:val="left" w:pos="9180"/>
          <w:tab w:val="left" w:pos="9360"/>
        </w:tabs>
        <w:spacing w:line="360" w:lineRule="auto"/>
        <w:ind w:firstLine="480" w:firstLineChars="200"/>
        <w:rPr>
          <w:rFonts w:hint="default"/>
          <w:highlight w:val="none"/>
          <w:lang w:val="en-US" w:eastAsia="zh-CN"/>
        </w:rPr>
      </w:pPr>
      <w:r>
        <w:rPr>
          <w:rFonts w:hint="eastAsia"/>
          <w:highlight w:val="none"/>
        </w:rPr>
        <w:t>2.建设单位：</w:t>
      </w:r>
      <w:r>
        <w:rPr>
          <w:rFonts w:hint="eastAsia"/>
          <w:szCs w:val="26"/>
          <w:highlight w:val="none"/>
        </w:rPr>
        <w:t>杭州市排水有限公司</w:t>
      </w:r>
      <w:r>
        <w:rPr>
          <w:rFonts w:hint="eastAsia"/>
          <w:highlight w:val="none"/>
          <w:lang w:val="en-US" w:eastAsia="zh-CN"/>
        </w:rPr>
        <w:t xml:space="preserve">                                              </w:t>
      </w:r>
    </w:p>
    <w:p w14:paraId="5A90CE19">
      <w:pPr>
        <w:tabs>
          <w:tab w:val="left" w:pos="900"/>
          <w:tab w:val="left" w:pos="9180"/>
          <w:tab w:val="left" w:pos="9360"/>
        </w:tabs>
        <w:spacing w:line="360" w:lineRule="auto"/>
        <w:ind w:firstLine="480" w:firstLineChars="200"/>
        <w:rPr>
          <w:rFonts w:hint="default"/>
          <w:highlight w:val="none"/>
          <w:lang w:val="en-US" w:eastAsia="zh-CN"/>
        </w:rPr>
      </w:pPr>
      <w:r>
        <w:rPr>
          <w:rFonts w:hint="eastAsia"/>
          <w:highlight w:val="none"/>
        </w:rPr>
        <w:t>3.工程地点：浙江省杭州市</w:t>
      </w:r>
    </w:p>
    <w:p w14:paraId="102E75BC">
      <w:pPr>
        <w:tabs>
          <w:tab w:val="left" w:pos="900"/>
          <w:tab w:val="left" w:pos="9180"/>
          <w:tab w:val="left" w:pos="9360"/>
        </w:tabs>
        <w:spacing w:line="360" w:lineRule="auto"/>
        <w:ind w:firstLine="480" w:firstLineChars="200"/>
        <w:rPr>
          <w:rFonts w:hint="eastAsia" w:eastAsia="宋体"/>
          <w:szCs w:val="21"/>
          <w:highlight w:val="none"/>
          <w:lang w:eastAsia="zh-CN"/>
        </w:rPr>
      </w:pPr>
      <w:r>
        <w:rPr>
          <w:rFonts w:hint="eastAsia"/>
          <w:highlight w:val="none"/>
        </w:rPr>
        <w:t>4.工程概况：</w:t>
      </w:r>
      <w:r>
        <w:rPr>
          <w:rFonts w:hint="eastAsia"/>
          <w:highlight w:val="none"/>
          <w:lang w:val="en-US" w:eastAsia="zh-CN"/>
        </w:rPr>
        <w:t>本项目主要为城西污水处理厂6个长方形滤池进水渠堰板拆除，水池侧边滤砂以下15cm至顶部及滤池出水聚道三面瓷砖铺贴全流程施工，包含水池放空抽水、堰板拆除修补、脚手架搭设拆除、瓷砖铺贴、勾缝、养护、现场清理、竣工验收等全部工作内容</w:t>
      </w:r>
      <w:r>
        <w:rPr>
          <w:rFonts w:hint="eastAsia"/>
          <w:highlight w:val="none"/>
        </w:rPr>
        <w:t>。</w:t>
      </w:r>
    </w:p>
    <w:p w14:paraId="6C1879C0">
      <w:pPr>
        <w:numPr>
          <w:ilvl w:val="0"/>
          <w:numId w:val="1"/>
        </w:numPr>
        <w:tabs>
          <w:tab w:val="left" w:pos="1080"/>
          <w:tab w:val="left" w:pos="9180"/>
          <w:tab w:val="left" w:pos="9360"/>
        </w:tabs>
        <w:spacing w:line="360" w:lineRule="auto"/>
        <w:ind w:right="29" w:rightChars="12"/>
        <w:outlineLvl w:val="0"/>
        <w:rPr>
          <w:rFonts w:hint="eastAsia"/>
          <w:b/>
          <w:highlight w:val="none"/>
        </w:rPr>
      </w:pPr>
      <w:r>
        <w:rPr>
          <w:rFonts w:hint="eastAsia"/>
          <w:b/>
          <w:highlight w:val="none"/>
        </w:rPr>
        <w:t>工程招标范围</w:t>
      </w:r>
    </w:p>
    <w:p w14:paraId="7AF3F3B7">
      <w:pPr>
        <w:numPr>
          <w:ilvl w:val="0"/>
          <w:numId w:val="2"/>
        </w:numPr>
        <w:tabs>
          <w:tab w:val="left" w:pos="900"/>
          <w:tab w:val="left" w:pos="9180"/>
          <w:tab w:val="left" w:pos="9360"/>
          <w:tab w:val="clear" w:pos="312"/>
        </w:tabs>
        <w:spacing w:line="360" w:lineRule="auto"/>
        <w:ind w:firstLine="480" w:firstLineChars="200"/>
        <w:rPr>
          <w:rFonts w:hint="eastAsia"/>
          <w:highlight w:val="none"/>
        </w:rPr>
      </w:pPr>
      <w:r>
        <w:rPr>
          <w:rFonts w:hint="eastAsia"/>
          <w:highlight w:val="none"/>
        </w:rPr>
        <w:t>招标范围： 本工程施工图、编制说明范围内的工程量清单全部内容</w:t>
      </w:r>
      <w:r>
        <w:rPr>
          <w:rFonts w:hint="eastAsia"/>
          <w:highlight w:val="none"/>
          <w:lang w:eastAsia="zh-CN"/>
        </w:rPr>
        <w:t>。</w:t>
      </w:r>
      <w:r>
        <w:rPr>
          <w:rFonts w:hint="eastAsia"/>
          <w:highlight w:val="none"/>
        </w:rPr>
        <w:t xml:space="preserve"> </w:t>
      </w:r>
    </w:p>
    <w:p w14:paraId="009F15A1">
      <w:pPr>
        <w:numPr>
          <w:ilvl w:val="0"/>
          <w:numId w:val="1"/>
        </w:numPr>
        <w:tabs>
          <w:tab w:val="left" w:pos="1080"/>
          <w:tab w:val="left" w:pos="9180"/>
          <w:tab w:val="left" w:pos="9360"/>
        </w:tabs>
        <w:spacing w:line="360" w:lineRule="auto"/>
        <w:ind w:right="29" w:rightChars="12"/>
        <w:outlineLvl w:val="0"/>
        <w:rPr>
          <w:b/>
          <w:highlight w:val="none"/>
        </w:rPr>
      </w:pPr>
      <w:r>
        <w:rPr>
          <w:rFonts w:hint="eastAsia"/>
          <w:b/>
          <w:highlight w:val="none"/>
        </w:rPr>
        <w:t>编制依据</w:t>
      </w:r>
    </w:p>
    <w:p w14:paraId="2A65C61E">
      <w:pPr>
        <w:tabs>
          <w:tab w:val="left" w:pos="900"/>
          <w:tab w:val="left" w:pos="9180"/>
          <w:tab w:val="left" w:pos="9360"/>
        </w:tabs>
        <w:spacing w:line="360" w:lineRule="auto"/>
        <w:ind w:firstLine="480" w:firstLineChars="200"/>
        <w:rPr>
          <w:rFonts w:hint="eastAsia"/>
          <w:highlight w:val="none"/>
        </w:rPr>
      </w:pPr>
      <w:r>
        <w:rPr>
          <w:rFonts w:hint="eastAsia"/>
          <w:highlight w:val="none"/>
        </w:rPr>
        <w:t>1.《建设工程工程量清单计价规范》GB 50500-2013</w:t>
      </w:r>
      <w:r>
        <w:rPr>
          <w:rFonts w:hint="eastAsia"/>
          <w:highlight w:val="none"/>
          <w:lang w:val="en-US" w:eastAsia="zh-CN"/>
        </w:rPr>
        <w:t>及浙江省补充规定</w:t>
      </w:r>
      <w:r>
        <w:rPr>
          <w:rFonts w:hint="eastAsia"/>
          <w:highlight w:val="none"/>
        </w:rPr>
        <w:t>；</w:t>
      </w:r>
    </w:p>
    <w:p w14:paraId="06700E0A">
      <w:pPr>
        <w:tabs>
          <w:tab w:val="left" w:pos="900"/>
          <w:tab w:val="left" w:pos="9180"/>
          <w:tab w:val="left" w:pos="9360"/>
        </w:tabs>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2.《浙江省建设工程工程计价规则》（2018版）；</w:t>
      </w:r>
    </w:p>
    <w:p w14:paraId="5154B459">
      <w:pPr>
        <w:tabs>
          <w:tab w:val="left" w:pos="900"/>
          <w:tab w:val="left" w:pos="9180"/>
          <w:tab w:val="left" w:pos="9360"/>
        </w:tabs>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3.</w:t>
      </w:r>
      <w:r>
        <w:rPr>
          <w:rFonts w:hint="eastAsia"/>
          <w:highlight w:val="none"/>
        </w:rPr>
        <w:t>施工图纸</w:t>
      </w:r>
      <w:r>
        <w:rPr>
          <w:rFonts w:hint="eastAsia" w:ascii="宋体" w:hAnsi="宋体" w:eastAsia="宋体" w:cs="宋体"/>
          <w:highlight w:val="none"/>
        </w:rPr>
        <w:t>；</w:t>
      </w:r>
    </w:p>
    <w:p w14:paraId="11F58299">
      <w:pPr>
        <w:tabs>
          <w:tab w:val="left" w:pos="900"/>
          <w:tab w:val="left" w:pos="9180"/>
          <w:tab w:val="left" w:pos="9360"/>
        </w:tabs>
        <w:spacing w:line="360" w:lineRule="auto"/>
        <w:ind w:firstLine="480" w:firstLineChars="200"/>
        <w:rPr>
          <w:rFonts w:hint="eastAsia"/>
          <w:b/>
          <w:highlight w:val="none"/>
        </w:rPr>
      </w:pPr>
      <w:r>
        <w:rPr>
          <w:rFonts w:hint="eastAsia"/>
          <w:highlight w:val="none"/>
          <w:lang w:val="en-US" w:eastAsia="zh-CN"/>
        </w:rPr>
        <w:t>4</w:t>
      </w:r>
      <w:r>
        <w:rPr>
          <w:rFonts w:hint="eastAsia"/>
          <w:highlight w:val="none"/>
        </w:rPr>
        <w:t>.相关</w:t>
      </w:r>
      <w:r>
        <w:rPr>
          <w:rFonts w:hint="eastAsia"/>
          <w:highlight w:val="none"/>
          <w:lang w:val="en-US" w:eastAsia="zh-CN"/>
        </w:rPr>
        <w:t>规范、</w:t>
      </w:r>
      <w:r>
        <w:rPr>
          <w:rFonts w:hint="eastAsia"/>
          <w:highlight w:val="none"/>
        </w:rPr>
        <w:t>解释、政策文件及法律法规等。</w:t>
      </w:r>
    </w:p>
    <w:p w14:paraId="7F362703">
      <w:pPr>
        <w:rPr>
          <w:rFonts w:hint="eastAsia"/>
          <w:highlight w:val="none"/>
        </w:rPr>
      </w:pPr>
    </w:p>
    <w:p w14:paraId="07958C8D">
      <w:pPr>
        <w:numPr>
          <w:ilvl w:val="0"/>
          <w:numId w:val="1"/>
        </w:numPr>
        <w:tabs>
          <w:tab w:val="left" w:pos="1080"/>
          <w:tab w:val="left" w:pos="9180"/>
          <w:tab w:val="left" w:pos="9360"/>
        </w:tabs>
        <w:spacing w:line="360" w:lineRule="auto"/>
        <w:ind w:right="29" w:rightChars="12"/>
        <w:outlineLvl w:val="0"/>
        <w:rPr>
          <w:b/>
          <w:highlight w:val="none"/>
        </w:rPr>
      </w:pPr>
      <w:r>
        <w:rPr>
          <w:rFonts w:hint="eastAsia"/>
          <w:b/>
          <w:highlight w:val="none"/>
        </w:rPr>
        <w:t>工程质量、工期</w:t>
      </w:r>
    </w:p>
    <w:p w14:paraId="564F0A1B">
      <w:pPr>
        <w:spacing w:line="400" w:lineRule="exact"/>
        <w:ind w:left="840"/>
        <w:rPr>
          <w:szCs w:val="21"/>
          <w:highlight w:val="none"/>
        </w:rPr>
      </w:pPr>
      <w:r>
        <w:rPr>
          <w:rFonts w:hint="eastAsia"/>
          <w:szCs w:val="21"/>
          <w:highlight w:val="none"/>
        </w:rPr>
        <w:t>工程质量、工期：见本工程招标文件。</w:t>
      </w:r>
    </w:p>
    <w:p w14:paraId="34590183">
      <w:pPr>
        <w:spacing w:line="400" w:lineRule="exact"/>
        <w:ind w:left="840"/>
        <w:rPr>
          <w:rFonts w:hint="eastAsia"/>
          <w:szCs w:val="21"/>
          <w:highlight w:val="none"/>
        </w:rPr>
      </w:pPr>
    </w:p>
    <w:p w14:paraId="08931CAA">
      <w:pPr>
        <w:numPr>
          <w:ilvl w:val="0"/>
          <w:numId w:val="1"/>
        </w:numPr>
        <w:tabs>
          <w:tab w:val="left" w:pos="1080"/>
          <w:tab w:val="left" w:pos="9180"/>
          <w:tab w:val="left" w:pos="9360"/>
        </w:tabs>
        <w:spacing w:line="360" w:lineRule="auto"/>
        <w:ind w:right="29" w:rightChars="12"/>
        <w:outlineLvl w:val="0"/>
        <w:rPr>
          <w:b/>
          <w:highlight w:val="none"/>
        </w:rPr>
      </w:pPr>
      <w:r>
        <w:rPr>
          <w:rFonts w:hint="eastAsia"/>
          <w:b/>
          <w:highlight w:val="none"/>
        </w:rPr>
        <w:t>有关事项说明</w:t>
      </w:r>
    </w:p>
    <w:p w14:paraId="7ADF187F">
      <w:pPr>
        <w:spacing w:line="400" w:lineRule="exact"/>
        <w:ind w:left="482"/>
        <w:rPr>
          <w:rFonts w:hint="eastAsia"/>
          <w:szCs w:val="21"/>
          <w:highlight w:val="none"/>
        </w:rPr>
      </w:pPr>
      <w:r>
        <w:rPr>
          <w:rFonts w:hint="eastAsia"/>
          <w:szCs w:val="21"/>
          <w:highlight w:val="none"/>
        </w:rPr>
        <w:t>（一）</w:t>
      </w:r>
      <w:r>
        <w:rPr>
          <w:rFonts w:hint="eastAsia"/>
          <w:szCs w:val="21"/>
          <w:highlight w:val="none"/>
          <w:lang w:val="en-US" w:eastAsia="zh-CN"/>
        </w:rPr>
        <w:t>整体</w:t>
      </w:r>
      <w:r>
        <w:rPr>
          <w:rFonts w:hint="eastAsia"/>
          <w:szCs w:val="21"/>
          <w:highlight w:val="none"/>
        </w:rPr>
        <w:t>部分</w:t>
      </w:r>
    </w:p>
    <w:p w14:paraId="1ABEA51F">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ascii="宋体" w:hAnsi="宋体" w:eastAsia="宋体" w:cs="Times New Roman"/>
          <w:kern w:val="2"/>
          <w:highlight w:val="none"/>
        </w:rPr>
        <w:t>1</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分部分项工程量清单中的工程量是按实物净量计算的，一切损耗均应在投标报价的综合单价中考虑。</w:t>
      </w:r>
    </w:p>
    <w:p w14:paraId="4F7C608E">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2</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投标人应在综合单价中充分考虑施工中的各种损耗和需要增加的工程量，所报综合单价应包含该清单子目的所有工作内容，并考虑风险因素。</w:t>
      </w:r>
    </w:p>
    <w:p w14:paraId="186C9C92">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3</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投标人未填报综合单价或合价的项目，其费用视为已分摊在其他项目的综合单价与合价中，该项工作实施后，招标人将不予支付。</w:t>
      </w:r>
    </w:p>
    <w:p w14:paraId="1E3CD57E">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4</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投标人应将工程量清单充分结合图纸一起阅读并理解，对于清单描述不够详尽的，应结合图纸要求进行报价。</w:t>
      </w:r>
    </w:p>
    <w:p w14:paraId="6EF34385">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5</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工程量清单项目特征描述的是主要工作内容，其他辅助工作内容投标人自行考虑，并计入综合单价及合价。</w:t>
      </w:r>
    </w:p>
    <w:p w14:paraId="1E80B7DA">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6</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投标人自行补充的措施项目必须列清项目明细内容，并提供相应的措施项目清单综合单价计算表及工料机分析表。</w:t>
      </w:r>
    </w:p>
    <w:p w14:paraId="3AD0C282">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7.</w:t>
      </w:r>
      <w:r>
        <w:rPr>
          <w:rFonts w:hint="eastAsia" w:ascii="宋体" w:hAnsi="宋体" w:eastAsia="宋体" w:cs="Times New Roman"/>
          <w:kern w:val="2"/>
          <w:highlight w:val="none"/>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421CF5A6">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8</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本工程的所有瓷砖、型材等材料进场前中标单位先提供样品</w:t>
      </w:r>
      <w:r>
        <w:rPr>
          <w:rFonts w:hint="eastAsia" w:cs="Times New Roman"/>
          <w:kern w:val="2"/>
          <w:highlight w:val="none"/>
          <w:lang w:val="en-US" w:eastAsia="zh-CN"/>
        </w:rPr>
        <w:t>及具体技术规格资料，</w:t>
      </w:r>
      <w:r>
        <w:rPr>
          <w:rFonts w:hint="eastAsia" w:ascii="宋体" w:hAnsi="宋体" w:eastAsia="宋体" w:cs="Times New Roman"/>
          <w:kern w:val="2"/>
          <w:highlight w:val="none"/>
        </w:rPr>
        <w:t>由建设单位、设计和监理方确认后方可进场，请充分考虑风险后报价。</w:t>
      </w:r>
    </w:p>
    <w:p w14:paraId="0ADFC62D">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9</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投标报价应综合考虑各项技术规范所涉及的各项要求进行报价，若与国家/省级/地方技术规范发生冲突，以最高标准执行。</w:t>
      </w:r>
    </w:p>
    <w:p w14:paraId="13EAE907">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10</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投标人应先到工地踏勘以充分了解工地位置、现状、交通运输、空间局限及任何</w:t>
      </w:r>
      <w:r>
        <w:rPr>
          <w:rFonts w:hint="eastAsia" w:cs="Times New Roman"/>
          <w:kern w:val="2"/>
          <w:highlight w:val="none"/>
          <w:lang w:eastAsia="zh-CN"/>
        </w:rPr>
        <w:t>其他</w:t>
      </w:r>
      <w:r>
        <w:rPr>
          <w:rFonts w:hint="eastAsia" w:ascii="宋体" w:hAnsi="宋体" w:eastAsia="宋体" w:cs="Times New Roman"/>
          <w:kern w:val="2"/>
          <w:highlight w:val="none"/>
        </w:rPr>
        <w:t>足以影响报价的情况，任何因忽视或误解工地情况而导致的索赔或工期延长申请将不获批准。</w:t>
      </w:r>
    </w:p>
    <w:p w14:paraId="1F845901">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11</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分部分项工程量清单中对工程项目的项目特征及具体做法只作重点描述，详细情况见施工图设计、技术说明、技术措施表及相关标准图集。组价时应结合投标人现场勘察情况包括完成所有工序工作内容的全部费用，清单描述不能作为投标人漏项、漏序的借口。</w:t>
      </w:r>
    </w:p>
    <w:p w14:paraId="3225F8CA">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12</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清单中涉及到有关标准图集的，投标综合单价应包含标准图集做法中所有工作内容。</w:t>
      </w:r>
    </w:p>
    <w:p w14:paraId="5FE5D6D8">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13</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请投标人充分考虑本工程所有设备单体调试和系统调试完成且经甲方验收后所需的相关调试费用（如水电费等）、满足设备运行环境和储存环境产生的费用，并计入投标总价内，各投标单位需要在相应的子目中综合考虑费用。</w:t>
      </w:r>
    </w:p>
    <w:p w14:paraId="2592573D">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14</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工程量清单及其计价依据格式中的任何内容不得随意删除或涂改，若有错误，在招标答疑时及时提出，以“补充答疑”资料为准。</w:t>
      </w:r>
    </w:p>
    <w:p w14:paraId="0B2CEA35">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15</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若施工场地无法满足投标人临时设施布置需求，由投标人自行就近解决（场地租赁费用及场地到施工现场间的用水用电管线接通、道路接通、人材机的短驳转运及其余应在组织措施费考虑包干），中标后招标人不再另行支付相关费用。</w:t>
      </w:r>
    </w:p>
    <w:p w14:paraId="4B66110C">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16</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根据工程量清单报价原则“固定综合单价”，以“项”为单位的工程量清单项目综合单价为包干价，请投标单位根据项目实际情况合理报价。</w:t>
      </w:r>
    </w:p>
    <w:p w14:paraId="7656011D">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17.</w:t>
      </w:r>
      <w:r>
        <w:rPr>
          <w:rFonts w:hint="eastAsia" w:ascii="宋体" w:hAnsi="宋体" w:eastAsia="宋体" w:cs="Times New Roman"/>
          <w:kern w:val="2"/>
          <w:highlight w:val="none"/>
        </w:rPr>
        <w:t>投标人根据自行确定的施工方案及招标文件相关要求，认为有必要增加的技术措施费（如抗台、障碍物处理等具体内容详见招标文件），计入其他技术措施费当中，一旦中标不再调整。</w:t>
      </w:r>
    </w:p>
    <w:p w14:paraId="066A6C6C">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18.</w:t>
      </w:r>
      <w:r>
        <w:rPr>
          <w:rFonts w:hint="eastAsia" w:ascii="宋体" w:hAnsi="宋体" w:eastAsia="宋体" w:cs="Times New Roman"/>
          <w:kern w:val="2"/>
          <w:highlight w:val="none"/>
        </w:rPr>
        <w:t>投标人根据招标文件相关要求及工程实际情况结合自行确定的施工组织设计或施工方案，对技术措施清单中未列明的措施费用计入其他技术措施费当中。</w:t>
      </w:r>
    </w:p>
    <w:p w14:paraId="0E2483CB">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19.</w:t>
      </w:r>
      <w:r>
        <w:rPr>
          <w:rFonts w:hint="eastAsia" w:ascii="宋体" w:hAnsi="宋体" w:eastAsia="宋体" w:cs="Times New Roman"/>
          <w:kern w:val="2"/>
          <w:highlight w:val="none"/>
        </w:rPr>
        <w:t>本工程建设单位不提供土方临时堆放场地，所有建筑垃圾必须外运，外运运距</w:t>
      </w:r>
      <w:r>
        <w:rPr>
          <w:rFonts w:hint="eastAsia" w:cs="Times New Roman"/>
          <w:kern w:val="2"/>
          <w:highlight w:val="none"/>
          <w:lang w:eastAsia="zh-CN"/>
        </w:rPr>
        <w:t>、</w:t>
      </w:r>
      <w:r>
        <w:rPr>
          <w:rFonts w:hint="eastAsia" w:cs="Times New Roman"/>
          <w:kern w:val="2"/>
          <w:highlight w:val="none"/>
          <w:lang w:val="en-US" w:eastAsia="zh-CN"/>
        </w:rPr>
        <w:t>弃置场地</w:t>
      </w:r>
      <w:r>
        <w:rPr>
          <w:rFonts w:hint="eastAsia" w:ascii="宋体" w:hAnsi="宋体" w:eastAsia="宋体" w:cs="Times New Roman"/>
          <w:kern w:val="2"/>
          <w:highlight w:val="none"/>
        </w:rPr>
        <w:t>由投标人自行考虑，中标后须到相关部门办理相关手续。</w:t>
      </w:r>
      <w:r>
        <w:rPr>
          <w:rFonts w:hint="eastAsia" w:cs="Times New Roman"/>
          <w:kern w:val="2"/>
          <w:highlight w:val="none"/>
          <w:lang w:val="en-US" w:eastAsia="zh-CN"/>
        </w:rPr>
        <w:t>相关弃置清单</w:t>
      </w:r>
      <w:r>
        <w:rPr>
          <w:rFonts w:hint="eastAsia" w:ascii="宋体" w:hAnsi="宋体" w:eastAsia="宋体" w:cs="Times New Roman"/>
          <w:kern w:val="2"/>
          <w:highlight w:val="none"/>
        </w:rPr>
        <w:t>综合单价包括</w:t>
      </w:r>
      <w:r>
        <w:rPr>
          <w:rFonts w:hint="eastAsia" w:cs="Times New Roman"/>
          <w:kern w:val="2"/>
          <w:highlight w:val="none"/>
          <w:lang w:val="en-US" w:eastAsia="zh-CN"/>
        </w:rPr>
        <w:t>装袋</w:t>
      </w:r>
      <w:r>
        <w:rPr>
          <w:rFonts w:hint="eastAsia" w:ascii="宋体" w:hAnsi="宋体" w:eastAsia="宋体" w:cs="Times New Roman"/>
          <w:kern w:val="2"/>
          <w:highlight w:val="none"/>
        </w:rPr>
        <w:t>、</w:t>
      </w:r>
      <w:r>
        <w:rPr>
          <w:rFonts w:hint="eastAsia" w:cs="Times New Roman"/>
          <w:kern w:val="2"/>
          <w:highlight w:val="none"/>
          <w:lang w:val="en-US" w:eastAsia="zh-CN"/>
        </w:rPr>
        <w:t>搬运、装卸、运输、</w:t>
      </w:r>
      <w:r>
        <w:rPr>
          <w:rFonts w:hint="eastAsia" w:ascii="宋体" w:hAnsi="宋体" w:eastAsia="宋体" w:cs="Times New Roman"/>
          <w:kern w:val="2"/>
          <w:highlight w:val="none"/>
        </w:rPr>
        <w:t>城市卫生费、市容环境及土石方（包括淤泥、渣土）处置等有关发生的一切费用；以上单价不因运距、人工单价、交通拥堵的车辆运输机械降效系数等一切因素的变化而调整。土方类别综合考虑，包括：淤泥、泥浆、建筑渣土、砌体、</w:t>
      </w:r>
      <w:r>
        <w:rPr>
          <w:rFonts w:hint="eastAsia" w:cs="Times New Roman"/>
          <w:kern w:val="2"/>
          <w:highlight w:val="none"/>
          <w:lang w:val="en-US" w:eastAsia="zh-CN"/>
        </w:rPr>
        <w:t>装修垃圾</w:t>
      </w:r>
      <w:r>
        <w:rPr>
          <w:rFonts w:hint="eastAsia" w:ascii="宋体" w:hAnsi="宋体" w:eastAsia="宋体" w:cs="Times New Roman"/>
          <w:kern w:val="2"/>
          <w:highlight w:val="none"/>
        </w:rPr>
        <w:t>等内容。</w:t>
      </w:r>
    </w:p>
    <w:p w14:paraId="310A3004">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20.</w:t>
      </w:r>
      <w:r>
        <w:rPr>
          <w:rFonts w:hint="eastAsia" w:ascii="宋体" w:hAnsi="宋体" w:eastAsia="宋体" w:cs="Times New Roman"/>
          <w:kern w:val="2"/>
          <w:highlight w:val="none"/>
        </w:rPr>
        <w:t>所有饰面材料（涂料、瓷砖</w:t>
      </w:r>
      <w:r>
        <w:rPr>
          <w:rFonts w:hint="eastAsia" w:cs="Times New Roman"/>
          <w:kern w:val="2"/>
          <w:highlight w:val="none"/>
          <w:lang w:val="en-US" w:eastAsia="zh-CN"/>
        </w:rPr>
        <w:t>等</w:t>
      </w:r>
      <w:r>
        <w:rPr>
          <w:rFonts w:hint="eastAsia" w:ascii="宋体" w:hAnsi="宋体" w:eastAsia="宋体" w:cs="Times New Roman"/>
          <w:kern w:val="2"/>
          <w:highlight w:val="none"/>
        </w:rPr>
        <w:t>）请投标单位自行充分考虑不同颜色和规格的报价的影响，实际施工时按业主、设计要求调整，中标后综合单价不变。</w:t>
      </w:r>
    </w:p>
    <w:p w14:paraId="09CA37DC">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cs="Times New Roman"/>
          <w:kern w:val="2"/>
          <w:highlight w:val="none"/>
          <w:lang w:val="en-US" w:eastAsia="zh-CN"/>
        </w:rPr>
      </w:pPr>
      <w:r>
        <w:rPr>
          <w:rFonts w:hint="eastAsia" w:cs="Times New Roman"/>
          <w:kern w:val="2"/>
          <w:highlight w:val="none"/>
          <w:lang w:val="en-US" w:eastAsia="zh-CN"/>
        </w:rPr>
        <w:t>21 发包人提供的招标图纸为施工图设计深度，承包人在施工前，必须根据现场实际尺寸、施工规范及材料特性进行必要的二次深化设计（包括但不限于：瓷砖排版及节点大样、相关收口节点等）。深化设计图纸须经监理、发包人及设计单位审核确认后方可实施，且深化设计不得改变原设计意图、不得降低设计标准，相关深化费用（含设计人员薪酬、出图费、软件使用费等）要求投标人在投标报价的分部分项综合单价或相关措施费中综合考虑并包干，结算时发包人不再另行计取任何深化费用。</w:t>
      </w:r>
    </w:p>
    <w:p w14:paraId="2A1A7957">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22.</w:t>
      </w:r>
      <w:r>
        <w:rPr>
          <w:rFonts w:hint="eastAsia" w:ascii="宋体" w:hAnsi="宋体" w:eastAsia="宋体" w:cs="Times New Roman"/>
          <w:kern w:val="2"/>
          <w:highlight w:val="none"/>
        </w:rPr>
        <w:t>投标报价应包含竣工验收所需的所有第三方检测费用（具体</w:t>
      </w:r>
      <w:r>
        <w:rPr>
          <w:rFonts w:hint="eastAsia" w:cs="Times New Roman"/>
          <w:kern w:val="2"/>
          <w:highlight w:val="none"/>
          <w:lang w:val="en-US" w:eastAsia="zh-CN"/>
        </w:rPr>
        <w:t>内容</w:t>
      </w:r>
      <w:r>
        <w:rPr>
          <w:rFonts w:hint="eastAsia" w:ascii="宋体" w:hAnsi="宋体" w:eastAsia="宋体" w:cs="Times New Roman"/>
          <w:kern w:val="2"/>
          <w:highlight w:val="none"/>
        </w:rPr>
        <w:t>以建设主管部门要求为准），总体报价为保证验收通过的总费用。</w:t>
      </w:r>
    </w:p>
    <w:p w14:paraId="015B543F">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23.</w:t>
      </w:r>
      <w:r>
        <w:rPr>
          <w:rFonts w:hint="eastAsia" w:ascii="宋体" w:hAnsi="宋体" w:eastAsia="宋体" w:cs="Times New Roman"/>
          <w:kern w:val="2"/>
          <w:highlight w:val="none"/>
        </w:rPr>
        <w:t>投标人在投标报价时应充分领会《浙江省建设工程量清单计价指引》中各项目所组合的工程内容。</w:t>
      </w:r>
    </w:p>
    <w:p w14:paraId="48799155">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24.</w:t>
      </w:r>
      <w:r>
        <w:rPr>
          <w:rFonts w:hint="eastAsia" w:ascii="宋体" w:hAnsi="宋体" w:eastAsia="宋体" w:cs="Times New Roman"/>
          <w:kern w:val="2"/>
          <w:highlight w:val="none"/>
        </w:rPr>
        <w:t>投标人应先到工地踏勘，充分了解掌握现场情况，</w:t>
      </w:r>
      <w:r>
        <w:rPr>
          <w:rFonts w:hint="eastAsia" w:cs="Times New Roman"/>
          <w:kern w:val="2"/>
          <w:highlight w:val="none"/>
          <w:lang w:val="en-US" w:eastAsia="zh-CN"/>
        </w:rPr>
        <w:t>如</w:t>
      </w:r>
      <w:r>
        <w:rPr>
          <w:rFonts w:hint="eastAsia" w:ascii="宋体" w:hAnsi="宋体" w:eastAsia="宋体" w:cs="Times New Roman"/>
          <w:kern w:val="2"/>
          <w:highlight w:val="none"/>
        </w:rPr>
        <w:t>现有电梯轿厢及厅门专项防护、人员材料进出路线区域相关保护防护、超长、超重规格材料设备搬运</w:t>
      </w:r>
      <w:r>
        <w:rPr>
          <w:rFonts w:hint="eastAsia" w:cs="Times New Roman"/>
          <w:kern w:val="2"/>
          <w:highlight w:val="none"/>
          <w:lang w:eastAsia="zh-CN"/>
        </w:rPr>
        <w:t>、</w:t>
      </w:r>
      <w:r>
        <w:rPr>
          <w:rFonts w:hint="eastAsia" w:ascii="宋体" w:hAnsi="宋体" w:eastAsia="宋体" w:cs="Times New Roman"/>
          <w:kern w:val="2"/>
          <w:highlight w:val="none"/>
        </w:rPr>
        <w:t>工地位置、情况、道路、储存空间、装卸限制、当地的市政、市容、交通、治安、环保、环卫、城管、当地村民及任何</w:t>
      </w:r>
      <w:r>
        <w:rPr>
          <w:rFonts w:hint="eastAsia" w:cs="Times New Roman"/>
          <w:kern w:val="2"/>
          <w:highlight w:val="none"/>
          <w:lang w:eastAsia="zh-CN"/>
        </w:rPr>
        <w:t>其他</w:t>
      </w:r>
      <w:r>
        <w:rPr>
          <w:rFonts w:hint="eastAsia" w:ascii="宋体" w:hAnsi="宋体" w:eastAsia="宋体" w:cs="Times New Roman"/>
          <w:kern w:val="2"/>
          <w:highlight w:val="none"/>
        </w:rPr>
        <w:t>足以影响承包价的情况，预计施工过程中各种不利因素，</w:t>
      </w:r>
      <w:r>
        <w:rPr>
          <w:rFonts w:hint="eastAsia" w:cs="Times New Roman"/>
          <w:kern w:val="2"/>
          <w:highlight w:val="none"/>
          <w:lang w:eastAsia="zh-CN"/>
        </w:rPr>
        <w:t>并在报价中综合</w:t>
      </w:r>
      <w:r>
        <w:rPr>
          <w:rFonts w:hint="eastAsia" w:cs="Times New Roman"/>
          <w:kern w:val="2"/>
          <w:highlight w:val="none"/>
          <w:lang w:val="en-US" w:eastAsia="zh-CN"/>
        </w:rPr>
        <w:t>考虑，结算不再调整</w:t>
      </w:r>
      <w:r>
        <w:rPr>
          <w:rFonts w:hint="eastAsia" w:ascii="宋体" w:hAnsi="宋体" w:eastAsia="宋体" w:cs="Times New Roman"/>
          <w:kern w:val="2"/>
          <w:highlight w:val="none"/>
        </w:rPr>
        <w:t>。</w:t>
      </w:r>
    </w:p>
    <w:p w14:paraId="5F7934A6">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25.</w:t>
      </w:r>
      <w:r>
        <w:rPr>
          <w:rFonts w:hint="eastAsia" w:ascii="宋体" w:hAnsi="宋体" w:eastAsia="宋体" w:cs="Times New Roman"/>
          <w:kern w:val="2"/>
          <w:highlight w:val="none"/>
        </w:rPr>
        <w:t>下列项目由投标单位自行现场勘察并结合本工程实际情况、计算并计入项目措施费中，若不列项或报价为0，视作优惠处理，今后一律不得调整。</w:t>
      </w:r>
    </w:p>
    <w:p w14:paraId="2BBDA1EC">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ascii="宋体" w:hAnsi="宋体" w:eastAsia="宋体" w:cs="Times New Roman"/>
          <w:kern w:val="2"/>
          <w:highlight w:val="none"/>
        </w:rPr>
        <w:t>（1）临时用水、临时用电、接线等产生的费用。</w:t>
      </w:r>
    </w:p>
    <w:p w14:paraId="02C022D0">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ascii="宋体" w:hAnsi="宋体" w:eastAsia="宋体" w:cs="Times New Roman"/>
          <w:kern w:val="2"/>
          <w:highlight w:val="none"/>
        </w:rPr>
        <w:t>（2）因电力紧张或配备施工变压器容量不足等因素所发生的费用。</w:t>
      </w:r>
    </w:p>
    <w:p w14:paraId="1F48A05B">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ascii="宋体" w:hAnsi="宋体" w:eastAsia="宋体" w:cs="Times New Roman"/>
          <w:kern w:val="2"/>
          <w:highlight w:val="none"/>
        </w:rPr>
        <w:t>（3）场地内的二次搬运费。</w:t>
      </w:r>
    </w:p>
    <w:p w14:paraId="4BC19F69">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ascii="宋体" w:hAnsi="宋体" w:eastAsia="宋体" w:cs="Times New Roman"/>
          <w:kern w:val="2"/>
          <w:highlight w:val="none"/>
        </w:rPr>
        <w:t>（4）因施工场地限制，对临时设施搭设及施工进度的影响。</w:t>
      </w:r>
    </w:p>
    <w:p w14:paraId="6500D963">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26</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措施项目中投标人可根据施工组织设计及现场实际情况补充清单项并自行报价。</w:t>
      </w:r>
    </w:p>
    <w:p w14:paraId="15ECDE15">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27</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本工程施工图做法要求与其它相关工程配合所产生的开孔、防水密封等费用均应列入相应清单项目综合报价中，结算时不作调整。</w:t>
      </w:r>
    </w:p>
    <w:p w14:paraId="1911DA50">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ascii="宋体" w:hAnsi="宋体" w:eastAsia="宋体" w:cs="Times New Roman"/>
          <w:kern w:val="2"/>
          <w:highlight w:val="none"/>
        </w:rPr>
      </w:pPr>
      <w:r>
        <w:rPr>
          <w:rFonts w:hint="eastAsia" w:cs="Times New Roman"/>
          <w:kern w:val="2"/>
          <w:highlight w:val="none"/>
          <w:lang w:val="en-US" w:eastAsia="zh-CN"/>
        </w:rPr>
        <w:t>28</w:t>
      </w:r>
      <w:r>
        <w:rPr>
          <w:rFonts w:hint="eastAsia" w:ascii="宋体" w:hAnsi="宋体" w:eastAsia="宋体" w:cs="Times New Roman"/>
          <w:kern w:val="2"/>
          <w:highlight w:val="none"/>
          <w:lang w:val="en-US" w:eastAsia="zh-CN"/>
        </w:rPr>
        <w:t>.</w:t>
      </w:r>
      <w:r>
        <w:rPr>
          <w:rFonts w:hint="eastAsia" w:ascii="宋体" w:hAnsi="宋体" w:eastAsia="宋体" w:cs="Times New Roman"/>
          <w:kern w:val="2"/>
          <w:highlight w:val="none"/>
        </w:rPr>
        <w:t>施工单位需要考虑工程移交前工程范围内的卫生保洁费用，以及施工现场配备保安人员做好防盗、防损工作所需的费用，计入措施项目费中，否则视作优惠。</w:t>
      </w:r>
    </w:p>
    <w:p w14:paraId="348E6B59">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cs="Times New Roman"/>
          <w:kern w:val="2"/>
          <w:highlight w:val="none"/>
          <w:lang w:val="en-US" w:eastAsia="zh-CN"/>
        </w:rPr>
      </w:pPr>
      <w:r>
        <w:rPr>
          <w:rFonts w:hint="eastAsia" w:cs="Times New Roman"/>
          <w:kern w:val="2"/>
          <w:highlight w:val="none"/>
          <w:lang w:val="en-US" w:eastAsia="zh-CN"/>
        </w:rPr>
        <w:t>29.脚手架的使用及方案由各投标单位自行考虑，费用在脚手架相关子目中综合考虑报价，中标后不得以任何理由要求调整相关费用。</w:t>
      </w:r>
    </w:p>
    <w:p w14:paraId="520BC381">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cs="Times New Roman"/>
          <w:kern w:val="2"/>
          <w:highlight w:val="none"/>
          <w:lang w:val="en-US" w:eastAsia="zh-CN"/>
        </w:rPr>
      </w:pPr>
      <w:r>
        <w:rPr>
          <w:rFonts w:hint="eastAsia" w:cs="Times New Roman"/>
          <w:kern w:val="2"/>
          <w:highlight w:val="none"/>
          <w:lang w:val="en-US" w:eastAsia="zh-CN"/>
        </w:rPr>
        <w:t>30.投标单位应在综合单价中充分考虑因夜间施工增加的一切费用，中标后不得以任何理由要求调整相关费用。</w:t>
      </w:r>
    </w:p>
    <w:p w14:paraId="0AF22BC6">
      <w:pPr>
        <w:pStyle w:val="15"/>
        <w:rPr>
          <w:rFonts w:hint="eastAsia"/>
          <w:highlight w:val="none"/>
          <w:lang w:val="en-US" w:eastAsia="zh-CN"/>
        </w:rPr>
      </w:pPr>
    </w:p>
    <w:p w14:paraId="065BEB6F">
      <w:pPr>
        <w:spacing w:line="360" w:lineRule="auto"/>
        <w:ind w:left="482"/>
        <w:rPr>
          <w:rFonts w:hint="eastAsia"/>
          <w:highlight w:val="none"/>
          <w:lang w:val="en-US" w:eastAsia="zh-CN"/>
        </w:rPr>
      </w:pPr>
      <w:r>
        <w:rPr>
          <w:rFonts w:hint="eastAsia" w:ascii="宋体" w:hAnsi="宋体" w:eastAsia="宋体" w:cs="宋体"/>
          <w:szCs w:val="21"/>
          <w:highlight w:val="none"/>
          <w:lang w:val="en-US" w:eastAsia="zh-CN"/>
        </w:rPr>
        <w:t>（二）装修工程部分</w:t>
      </w:r>
    </w:p>
    <w:p w14:paraId="314A7C78">
      <w:pPr>
        <w:numPr>
          <w:ilvl w:val="0"/>
          <w:numId w:val="3"/>
        </w:numPr>
        <w:tabs>
          <w:tab w:val="left" w:pos="900"/>
          <w:tab w:val="left" w:pos="9180"/>
          <w:tab w:val="left" w:pos="9360"/>
        </w:tabs>
        <w:spacing w:line="360" w:lineRule="auto"/>
        <w:ind w:left="0" w:leftChars="0" w:right="29" w:rightChars="12" w:firstLine="480" w:firstLineChars="200"/>
        <w:rPr>
          <w:rFonts w:hint="eastAsia"/>
          <w:b w:val="0"/>
          <w:bCs w:val="0"/>
          <w:highlight w:val="none"/>
        </w:rPr>
      </w:pPr>
      <w:r>
        <w:rPr>
          <w:rFonts w:hint="eastAsia" w:ascii="宋体" w:hAnsi="宋体" w:eastAsia="宋体" w:cs="宋体"/>
          <w:b w:val="0"/>
          <w:bCs w:val="0"/>
          <w:highlight w:val="none"/>
          <w:lang w:val="en-US" w:eastAsia="zh-CN"/>
        </w:rPr>
        <w:t>经</w:t>
      </w:r>
      <w:r>
        <w:rPr>
          <w:rFonts w:hint="eastAsia" w:cs="宋体"/>
          <w:b w:val="0"/>
          <w:bCs w:val="0"/>
          <w:highlight w:val="none"/>
          <w:lang w:val="en-US" w:eastAsia="zh-CN"/>
        </w:rPr>
        <w:t>业主</w:t>
      </w:r>
      <w:r>
        <w:rPr>
          <w:rFonts w:hint="eastAsia" w:ascii="宋体" w:hAnsi="宋体" w:eastAsia="宋体" w:cs="宋体"/>
          <w:b w:val="0"/>
          <w:bCs w:val="0"/>
          <w:highlight w:val="none"/>
          <w:lang w:val="en-US" w:eastAsia="zh-CN"/>
        </w:rPr>
        <w:t>明确，</w:t>
      </w:r>
      <w:r>
        <w:rPr>
          <w:rFonts w:hint="eastAsia" w:cs="宋体"/>
          <w:b w:val="0"/>
          <w:bCs w:val="0"/>
          <w:highlight w:val="none"/>
          <w:lang w:val="en-US" w:eastAsia="zh-CN"/>
        </w:rPr>
        <w:t>墙面为1:2水泥砂浆找平层。</w:t>
      </w:r>
    </w:p>
    <w:p w14:paraId="3BEACDEB">
      <w:pPr>
        <w:tabs>
          <w:tab w:val="left" w:pos="1080"/>
          <w:tab w:val="left" w:pos="9180"/>
          <w:tab w:val="left" w:pos="9360"/>
        </w:tabs>
        <w:spacing w:line="360" w:lineRule="auto"/>
        <w:ind w:right="29" w:rightChars="12"/>
        <w:outlineLvl w:val="0"/>
        <w:rPr>
          <w:rFonts w:hint="eastAsia"/>
          <w:b/>
          <w:highlight w:val="none"/>
        </w:rPr>
      </w:pPr>
    </w:p>
    <w:p w14:paraId="1FD0D8F6">
      <w:pPr>
        <w:numPr>
          <w:ilvl w:val="0"/>
          <w:numId w:val="1"/>
        </w:numPr>
        <w:tabs>
          <w:tab w:val="left" w:pos="1080"/>
          <w:tab w:val="left" w:pos="9180"/>
          <w:tab w:val="left" w:pos="9360"/>
        </w:tabs>
        <w:spacing w:line="360" w:lineRule="auto"/>
        <w:ind w:right="29" w:rightChars="12"/>
        <w:outlineLvl w:val="0"/>
        <w:rPr>
          <w:rFonts w:hint="eastAsia"/>
          <w:b/>
          <w:highlight w:val="none"/>
        </w:rPr>
      </w:pPr>
      <w:r>
        <w:rPr>
          <w:rFonts w:hint="eastAsia"/>
          <w:b/>
          <w:highlight w:val="none"/>
        </w:rPr>
        <w:t>安全文明施工费、企业管理费、规费、税金等的要求：</w:t>
      </w:r>
    </w:p>
    <w:p w14:paraId="13E3B882">
      <w:pPr>
        <w:spacing w:line="400" w:lineRule="exact"/>
        <w:ind w:left="482"/>
        <w:rPr>
          <w:rFonts w:hint="eastAsia"/>
          <w:szCs w:val="21"/>
          <w:highlight w:val="none"/>
        </w:rPr>
      </w:pPr>
      <w:r>
        <w:rPr>
          <w:rFonts w:hint="eastAsia"/>
          <w:szCs w:val="21"/>
          <w:highlight w:val="none"/>
        </w:rPr>
        <w:t>（一）</w:t>
      </w:r>
      <w:r>
        <w:rPr>
          <w:rFonts w:hint="eastAsia"/>
          <w:szCs w:val="21"/>
          <w:highlight w:val="none"/>
          <w:lang w:val="en-US" w:eastAsia="zh-CN"/>
        </w:rPr>
        <w:t>装修</w:t>
      </w:r>
      <w:r>
        <w:rPr>
          <w:rFonts w:hint="eastAsia"/>
          <w:szCs w:val="21"/>
          <w:highlight w:val="none"/>
        </w:rPr>
        <w:t>部分</w:t>
      </w:r>
    </w:p>
    <w:p w14:paraId="362C61BA">
      <w:pPr>
        <w:keepNext w:val="0"/>
        <w:keepLines w:val="0"/>
        <w:pageBreakBefore w:val="0"/>
        <w:widowControl/>
        <w:kinsoku/>
        <w:wordWrap/>
        <w:overflowPunct/>
        <w:topLinePunct w:val="0"/>
        <w:autoSpaceDE/>
        <w:autoSpaceDN/>
        <w:bidi w:val="0"/>
        <w:adjustRightInd/>
        <w:snapToGrid/>
        <w:spacing w:line="400" w:lineRule="exact"/>
        <w:ind w:left="240" w:leftChars="100" w:firstLine="480" w:firstLineChars="200"/>
        <w:textAlignment w:val="auto"/>
        <w:rPr>
          <w:rFonts w:hint="default" w:eastAsia="宋体"/>
          <w:color w:val="auto"/>
          <w:szCs w:val="21"/>
          <w:highlight w:val="none"/>
          <w:lang w:val="en-US" w:eastAsia="zh-CN"/>
          <w14:textFill>
            <w14:gradFill>
              <w14:gsLst>
                <w14:gs w14:pos="50000">
                  <w14:schemeClr w14:val="accent6"/>
                </w14:gs>
                <w14:gs w14:pos="0">
                  <w14:schemeClr w14:val="accent6">
                    <w14:lumMod w14:val="25000"/>
                    <w14:lumOff w14:val="75000"/>
                  </w14:schemeClr>
                </w14:gs>
                <w14:gs w14:pos="100000">
                  <w14:schemeClr w14:val="accent6">
                    <w14:lumMod w14:val="85000"/>
                  </w14:schemeClr>
                </w14:gs>
              </w14:gsLst>
              <w14:lin w14:ang="5400000" w14:scaled="1"/>
            </w14:gradFill>
          </w14:textFill>
        </w:rPr>
      </w:pPr>
      <w:r>
        <w:rPr>
          <w:rFonts w:hint="eastAsia"/>
          <w:szCs w:val="21"/>
          <w:highlight w:val="none"/>
          <w:lang w:val="zh-CN"/>
        </w:rPr>
        <w:t>1</w:t>
      </w:r>
      <w:r>
        <w:rPr>
          <w:rFonts w:hint="eastAsia"/>
          <w:szCs w:val="21"/>
          <w:highlight w:val="none"/>
        </w:rPr>
        <w:t>.安全文明施工费</w:t>
      </w:r>
      <w:r>
        <w:rPr>
          <w:rFonts w:hint="eastAsia"/>
          <w:highlight w:val="none"/>
          <w:lang w:val="en-US" w:eastAsia="zh-CN"/>
        </w:rPr>
        <w:t>按浙建建函〔2025〕320号文：</w:t>
      </w:r>
      <w:r>
        <w:rPr>
          <w:rFonts w:hint="eastAsia"/>
          <w:szCs w:val="21"/>
          <w:highlight w:val="none"/>
        </w:rPr>
        <w:t>取费基数为人工费+机械费，</w:t>
      </w:r>
      <w:r>
        <w:rPr>
          <w:rFonts w:hint="eastAsia"/>
          <w:szCs w:val="21"/>
          <w:highlight w:val="none"/>
          <w:lang w:val="en-US" w:eastAsia="zh-CN"/>
        </w:rPr>
        <w:t>最低金额不得低于5338.38元（不含税）</w:t>
      </w:r>
      <w:r>
        <w:rPr>
          <w:rFonts w:hint="eastAsia"/>
          <w:szCs w:val="21"/>
          <w:highlight w:val="none"/>
        </w:rPr>
        <w:t>，否则作废标处理；</w:t>
      </w:r>
    </w:p>
    <w:p w14:paraId="2FE50849">
      <w:pPr>
        <w:spacing w:line="400" w:lineRule="exact"/>
        <w:ind w:left="240" w:leftChars="100" w:firstLine="480" w:firstLineChars="200"/>
        <w:rPr>
          <w:rFonts w:hint="eastAsia"/>
          <w:szCs w:val="21"/>
          <w:highlight w:val="none"/>
        </w:rPr>
      </w:pPr>
      <w:r>
        <w:rPr>
          <w:rFonts w:hint="eastAsia"/>
          <w:szCs w:val="21"/>
          <w:highlight w:val="none"/>
        </w:rPr>
        <w:t>2.企业管理费取费基数为人工费+机械费，取费费率不得低于</w:t>
      </w:r>
      <w:r>
        <w:rPr>
          <w:rFonts w:hint="eastAsia"/>
          <w:szCs w:val="21"/>
          <w:highlight w:val="none"/>
          <w:lang w:val="en-US" w:eastAsia="zh-CN"/>
        </w:rPr>
        <w:t>2.27</w:t>
      </w:r>
      <w:r>
        <w:rPr>
          <w:rFonts w:hint="eastAsia"/>
          <w:szCs w:val="21"/>
          <w:highlight w:val="none"/>
        </w:rPr>
        <w:t>%，否则作废标处理；</w:t>
      </w:r>
    </w:p>
    <w:p w14:paraId="104837C7">
      <w:pPr>
        <w:spacing w:line="400" w:lineRule="exact"/>
        <w:ind w:left="240" w:leftChars="100" w:firstLine="480" w:firstLineChars="200"/>
        <w:rPr>
          <w:szCs w:val="21"/>
          <w:highlight w:val="none"/>
        </w:rPr>
      </w:pPr>
      <w:r>
        <w:rPr>
          <w:rFonts w:hint="eastAsia"/>
          <w:szCs w:val="21"/>
          <w:highlight w:val="none"/>
        </w:rPr>
        <w:t>3.规费取费基数为人工费+机械费，规费费率</w:t>
      </w:r>
      <w:r>
        <w:rPr>
          <w:rFonts w:hint="eastAsia"/>
          <w:szCs w:val="21"/>
          <w:highlight w:val="none"/>
          <w:lang w:val="en-US" w:eastAsia="zh-CN"/>
        </w:rPr>
        <w:t>不得低于8.38</w:t>
      </w:r>
      <w:r>
        <w:rPr>
          <w:rFonts w:hint="eastAsia"/>
          <w:szCs w:val="21"/>
          <w:highlight w:val="none"/>
        </w:rPr>
        <w:t>%，否则作废标处理；</w:t>
      </w:r>
    </w:p>
    <w:p w14:paraId="03CED48F">
      <w:pPr>
        <w:spacing w:line="400" w:lineRule="exact"/>
        <w:ind w:left="240" w:leftChars="100" w:firstLine="480" w:firstLineChars="200"/>
        <w:rPr>
          <w:rFonts w:hint="eastAsia"/>
          <w:szCs w:val="21"/>
          <w:highlight w:val="none"/>
        </w:rPr>
      </w:pPr>
      <w:r>
        <w:rPr>
          <w:rFonts w:hint="eastAsia"/>
          <w:szCs w:val="21"/>
          <w:highlight w:val="none"/>
        </w:rPr>
        <w:t>4.税金费率</w:t>
      </w:r>
      <w:r>
        <w:rPr>
          <w:rFonts w:hint="eastAsia"/>
          <w:szCs w:val="21"/>
          <w:highlight w:val="none"/>
          <w:lang w:val="en-US" w:eastAsia="zh-CN"/>
        </w:rPr>
        <w:t>9</w:t>
      </w:r>
      <w:r>
        <w:rPr>
          <w:rFonts w:hint="eastAsia"/>
          <w:szCs w:val="21"/>
          <w:highlight w:val="none"/>
        </w:rPr>
        <w:t>%，取费基础为税前工程造价，税金不得作为竞争性报价，否则作废标处理。</w:t>
      </w:r>
    </w:p>
    <w:p w14:paraId="25AED9F8">
      <w:pPr>
        <w:spacing w:line="400" w:lineRule="exact"/>
        <w:ind w:left="240" w:leftChars="100" w:firstLine="480" w:firstLineChars="200"/>
        <w:rPr>
          <w:rFonts w:hint="eastAsia"/>
          <w:szCs w:val="21"/>
          <w:highlight w:val="none"/>
        </w:rPr>
      </w:pPr>
    </w:p>
    <w:p w14:paraId="2D5D4E66">
      <w:pPr>
        <w:rPr>
          <w:rFonts w:hint="eastAsia"/>
          <w:highlight w:val="none"/>
        </w:rPr>
      </w:pPr>
    </w:p>
    <w:sectPr>
      <w:headerReference r:id="rId3" w:type="default"/>
      <w:footerReference r:id="rId4" w:type="default"/>
      <w:pgSz w:w="11906" w:h="16838"/>
      <w:pgMar w:top="1440" w:right="1800" w:bottom="1440" w:left="1800"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BDA573BA">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FF4BB">
    <w:pPr>
      <w:pStyle w:val="1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72085" cy="147955"/>
              <wp:effectExtent l="0" t="0" r="0" b="0"/>
              <wp:wrapNone/>
              <wp:docPr id="5" name="文本框 1"/>
              <wp:cNvGraphicFramePr/>
              <a:graphic xmlns:a="http://schemas.openxmlformats.org/drawingml/2006/main">
                <a:graphicData uri="http://schemas.microsoft.com/office/word/2010/wordprocessingShape">
                  <wps:wsp>
                    <wps:cNvSpPr txBox="1"/>
                    <wps:spPr>
                      <a:xfrm>
                        <a:off x="0" y="0"/>
                        <a:ext cx="172085" cy="147955"/>
                      </a:xfrm>
                      <a:prstGeom prst="rect">
                        <a:avLst/>
                      </a:prstGeom>
                      <a:noFill/>
                      <a:ln>
                        <a:noFill/>
                      </a:ln>
                    </wps:spPr>
                    <wps:txbx>
                      <w:txbxContent>
                        <w:p w14:paraId="25764A70">
                          <w:pPr>
                            <w:snapToGrid w:val="0"/>
                            <w:rPr>
                              <w:rFonts w:hint="eastAsia"/>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w:t>
                          </w:r>
                          <w:r>
                            <w:rPr>
                              <w:rFonts w:hint="eastAsia"/>
                              <w:sz w:val="18"/>
                            </w:rPr>
                            <w:fldChar w:fldCharType="end"/>
                          </w:r>
                          <w:r>
                            <w:rPr>
                              <w:rFonts w:hint="eastAsia"/>
                              <w:sz w:val="18"/>
                            </w:rPr>
                            <w:t>-</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1.65pt;width:13.55pt;mso-position-horizontal:center;mso-position-horizontal-relative:margin;mso-wrap-style:none;z-index:251661312;mso-width-relative:page;mso-height-relative:page;" filled="f" stroked="f" coordsize="21600,21600" o:gfxdata="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zVEaPRAAAAAwEAAA8AAAAAAAAAAQAgAAAAIgAAAGRycy9kb3du&#10;cmV2LnhtbFBLAQIUABQAAAAIAIdO4kCvkRzyzQEAAJcDAAAOAAAAAAAAAAEAIAAAACABAABkcnMv&#10;ZTJvRG9jLnhtbFBLBQYAAAAABgAGAFkBAABfBQAAAAA=&#10;">
              <v:fill on="f" focussize="0,0"/>
              <v:stroke on="f"/>
              <v:imagedata o:title=""/>
              <o:lock v:ext="edit" aspectratio="f"/>
              <v:textbox inset="0mm,0mm,0mm,0mm" style="mso-fit-shape-to-text:t;">
                <w:txbxContent>
                  <w:p w14:paraId="25764A70">
                    <w:pPr>
                      <w:snapToGrid w:val="0"/>
                      <w:rPr>
                        <w:rFonts w:hint="eastAsia"/>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w:t>
                    </w:r>
                    <w:r>
                      <w:rPr>
                        <w:rFonts w:hint="eastAsia"/>
                        <w:sz w:val="18"/>
                      </w:rPr>
                      <w:fldChar w:fldCharType="end"/>
                    </w:r>
                    <w:r>
                      <w:rPr>
                        <w:rFonts w:hint="eastAsia"/>
                        <w:sz w:val="1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3FABE">
    <w:pPr>
      <w:pStyle w:val="14"/>
      <w:pBdr>
        <w:bottom w:val="thinThickLargeGap" w:color="auto" w:sz="24" w:space="17"/>
      </w:pBdr>
      <w:tabs>
        <w:tab w:val="left" w:pos="1394"/>
        <w:tab w:val="clear" w:pos="4153"/>
        <w:tab w:val="clear" w:pos="8306"/>
      </w:tabs>
      <w:jc w:val="left"/>
    </w:pPr>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2766060" cy="2766060"/>
          <wp:effectExtent l="0" t="0" r="15240" b="15240"/>
          <wp:wrapNone/>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1"/>
                  <a:stretch>
                    <a:fillRect/>
                  </a:stretch>
                </pic:blipFill>
                <pic:spPr>
                  <a:xfrm>
                    <a:off x="0" y="0"/>
                    <a:ext cx="2766060" cy="2766060"/>
                  </a:xfrm>
                  <a:prstGeom prst="rect">
                    <a:avLst/>
                  </a:prstGeom>
                  <a:noFill/>
                  <a:ln>
                    <a:noFill/>
                  </a:ln>
                </pic:spPr>
              </pic:pic>
            </a:graphicData>
          </a:graphic>
        </wp:anchor>
      </w:drawing>
    </w:r>
    <w:r>
      <w:drawing>
        <wp:anchor distT="0" distB="0" distL="114300" distR="114300" simplePos="0" relativeHeight="251659264" behindDoc="1" locked="0" layoutInCell="1" allowOverlap="1">
          <wp:simplePos x="0" y="0"/>
          <wp:positionH relativeFrom="column">
            <wp:posOffset>-3810</wp:posOffset>
          </wp:positionH>
          <wp:positionV relativeFrom="paragraph">
            <wp:posOffset>57150</wp:posOffset>
          </wp:positionV>
          <wp:extent cx="1143000" cy="271780"/>
          <wp:effectExtent l="0" t="0" r="0" b="1397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
                  <a:stretch>
                    <a:fillRect/>
                  </a:stretch>
                </pic:blipFill>
                <pic:spPr>
                  <a:xfrm>
                    <a:off x="0" y="0"/>
                    <a:ext cx="1143000" cy="27178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742C6D"/>
    <w:multiLevelType w:val="singleLevel"/>
    <w:tmpl w:val="C0742C6D"/>
    <w:lvl w:ilvl="0" w:tentative="0">
      <w:start w:val="1"/>
      <w:numFmt w:val="decimal"/>
      <w:lvlText w:val="%1."/>
      <w:lvlJc w:val="left"/>
      <w:pPr>
        <w:tabs>
          <w:tab w:val="left" w:pos="312"/>
        </w:tabs>
      </w:pPr>
    </w:lvl>
  </w:abstractNum>
  <w:abstractNum w:abstractNumId="1">
    <w:nsid w:val="6ACDFA2B"/>
    <w:multiLevelType w:val="multilevel"/>
    <w:tmpl w:val="6ACDFA2B"/>
    <w:lvl w:ilvl="0" w:tentative="0">
      <w:start w:val="1"/>
      <w:numFmt w:val="japaneseCounting"/>
      <w:lvlText w:val="%1、"/>
      <w:lvlJc w:val="left"/>
      <w:pPr>
        <w:tabs>
          <w:tab w:val="left" w:pos="840"/>
        </w:tabs>
        <w:ind w:left="840" w:hanging="358"/>
      </w:pPr>
      <w:rPr>
        <w:rFonts w:hint="eastAsia"/>
      </w:rPr>
    </w:lvl>
    <w:lvl w:ilvl="1" w:tentative="0">
      <w:start w:val="1"/>
      <w:numFmt w:val="lowerLetter"/>
      <w:lvlText w:val="%2)"/>
      <w:lvlJc w:val="left"/>
      <w:pPr>
        <w:tabs>
          <w:tab w:val="left" w:pos="1124"/>
        </w:tabs>
        <w:ind w:left="1124" w:hanging="420"/>
      </w:pPr>
      <w:rPr>
        <w:rFonts w:hint="eastAsia"/>
      </w:rPr>
    </w:lvl>
    <w:lvl w:ilvl="2" w:tentative="0">
      <w:start w:val="1"/>
      <w:numFmt w:val="lowerRoman"/>
      <w:lvlText w:val="%3."/>
      <w:lvlJc w:val="right"/>
      <w:pPr>
        <w:tabs>
          <w:tab w:val="left" w:pos="1544"/>
        </w:tabs>
        <w:ind w:left="1544" w:hanging="420"/>
      </w:pPr>
      <w:rPr>
        <w:rFonts w:hint="eastAsia"/>
      </w:rPr>
    </w:lvl>
    <w:lvl w:ilvl="3" w:tentative="0">
      <w:start w:val="1"/>
      <w:numFmt w:val="decimal"/>
      <w:lvlText w:val="%4."/>
      <w:lvlJc w:val="left"/>
      <w:pPr>
        <w:tabs>
          <w:tab w:val="left" w:pos="1964"/>
        </w:tabs>
        <w:ind w:left="1964" w:hanging="420"/>
      </w:pPr>
      <w:rPr>
        <w:rFonts w:hint="eastAsia"/>
      </w:rPr>
    </w:lvl>
    <w:lvl w:ilvl="4" w:tentative="0">
      <w:start w:val="1"/>
      <w:numFmt w:val="lowerLetter"/>
      <w:lvlText w:val="%5)"/>
      <w:lvlJc w:val="left"/>
      <w:pPr>
        <w:tabs>
          <w:tab w:val="left" w:pos="2384"/>
        </w:tabs>
        <w:ind w:left="2384" w:hanging="420"/>
      </w:pPr>
      <w:rPr>
        <w:rFonts w:hint="eastAsia"/>
      </w:rPr>
    </w:lvl>
    <w:lvl w:ilvl="5" w:tentative="0">
      <w:start w:val="1"/>
      <w:numFmt w:val="lowerRoman"/>
      <w:lvlText w:val="%6."/>
      <w:lvlJc w:val="right"/>
      <w:pPr>
        <w:tabs>
          <w:tab w:val="left" w:pos="2804"/>
        </w:tabs>
        <w:ind w:left="2804" w:hanging="420"/>
      </w:pPr>
      <w:rPr>
        <w:rFonts w:hint="eastAsia"/>
      </w:rPr>
    </w:lvl>
    <w:lvl w:ilvl="6" w:tentative="0">
      <w:start w:val="1"/>
      <w:numFmt w:val="decimal"/>
      <w:lvlText w:val="%7."/>
      <w:lvlJc w:val="left"/>
      <w:pPr>
        <w:tabs>
          <w:tab w:val="left" w:pos="3224"/>
        </w:tabs>
        <w:ind w:left="3224" w:hanging="420"/>
      </w:pPr>
      <w:rPr>
        <w:rFonts w:hint="eastAsia"/>
      </w:rPr>
    </w:lvl>
    <w:lvl w:ilvl="7" w:tentative="0">
      <w:start w:val="1"/>
      <w:numFmt w:val="lowerLetter"/>
      <w:lvlText w:val="%8)"/>
      <w:lvlJc w:val="left"/>
      <w:pPr>
        <w:tabs>
          <w:tab w:val="left" w:pos="3644"/>
        </w:tabs>
        <w:ind w:left="3644" w:hanging="420"/>
      </w:pPr>
      <w:rPr>
        <w:rFonts w:hint="eastAsia"/>
      </w:rPr>
    </w:lvl>
    <w:lvl w:ilvl="8" w:tentative="0">
      <w:start w:val="1"/>
      <w:numFmt w:val="lowerRoman"/>
      <w:lvlText w:val="%9."/>
      <w:lvlJc w:val="right"/>
      <w:pPr>
        <w:tabs>
          <w:tab w:val="left" w:pos="4064"/>
        </w:tabs>
        <w:ind w:left="4064" w:hanging="420"/>
      </w:pPr>
      <w:rPr>
        <w:rFonts w:hint="eastAsia"/>
      </w:rPr>
    </w:lvl>
  </w:abstractNum>
  <w:abstractNum w:abstractNumId="2">
    <w:nsid w:val="6F400C11"/>
    <w:multiLevelType w:val="singleLevel"/>
    <w:tmpl w:val="6F400C11"/>
    <w:lvl w:ilvl="0" w:tentative="0">
      <w:start w:val="1"/>
      <w:numFmt w:val="decimal"/>
      <w:suff w:val="nothing"/>
      <w:lvlText w:val="%1．"/>
      <w:lvlJc w:val="left"/>
      <w:pPr>
        <w:ind w:left="0" w:firstLine="4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doNotCompress"/>
  <w:doNotValidateAgainstSchema/>
  <w:doNotDemarcateInvalidXml/>
  <w:hdrShapeDefaults>
    <o:shapelayout v:ext="edit">
      <o:idmap v:ext="edit" data="1"/>
    </o:shapelayout>
  </w:hdrShapeDefaults>
  <w:compat>
    <w:spaceForUL/>
    <w:doNotLeaveBackslashAlon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NzkxNDE2OTk4ZjA3N2QxZGFjMTAxMDIyYjhkYzIifQ=="/>
  </w:docVars>
  <w:rsids>
    <w:rsidRoot w:val="00172A27"/>
    <w:rsid w:val="00001EBC"/>
    <w:rsid w:val="00013517"/>
    <w:rsid w:val="00014750"/>
    <w:rsid w:val="00014F24"/>
    <w:rsid w:val="00024509"/>
    <w:rsid w:val="00030D04"/>
    <w:rsid w:val="00033B1D"/>
    <w:rsid w:val="00036ACE"/>
    <w:rsid w:val="00036AD2"/>
    <w:rsid w:val="0004433C"/>
    <w:rsid w:val="000461EB"/>
    <w:rsid w:val="000464F8"/>
    <w:rsid w:val="00046C7D"/>
    <w:rsid w:val="00046CA0"/>
    <w:rsid w:val="000513B3"/>
    <w:rsid w:val="000536A1"/>
    <w:rsid w:val="00055111"/>
    <w:rsid w:val="000624E6"/>
    <w:rsid w:val="000655AA"/>
    <w:rsid w:val="00071FF8"/>
    <w:rsid w:val="00075DBA"/>
    <w:rsid w:val="00082DB7"/>
    <w:rsid w:val="00087F59"/>
    <w:rsid w:val="000A5C9E"/>
    <w:rsid w:val="000B3C64"/>
    <w:rsid w:val="000D7721"/>
    <w:rsid w:val="000E37A7"/>
    <w:rsid w:val="000F2A74"/>
    <w:rsid w:val="000F4643"/>
    <w:rsid w:val="000F4E7C"/>
    <w:rsid w:val="00103A2C"/>
    <w:rsid w:val="00106F1E"/>
    <w:rsid w:val="0011415A"/>
    <w:rsid w:val="001320BB"/>
    <w:rsid w:val="00134F8F"/>
    <w:rsid w:val="00137E46"/>
    <w:rsid w:val="0014609B"/>
    <w:rsid w:val="001465BB"/>
    <w:rsid w:val="001503AD"/>
    <w:rsid w:val="001A0E55"/>
    <w:rsid w:val="001A1ECD"/>
    <w:rsid w:val="001A1F50"/>
    <w:rsid w:val="001B3D08"/>
    <w:rsid w:val="001C5DB6"/>
    <w:rsid w:val="001E649D"/>
    <w:rsid w:val="001F7C2E"/>
    <w:rsid w:val="00205F9E"/>
    <w:rsid w:val="002074A3"/>
    <w:rsid w:val="00211356"/>
    <w:rsid w:val="002133D7"/>
    <w:rsid w:val="002134DC"/>
    <w:rsid w:val="0022142F"/>
    <w:rsid w:val="0022339F"/>
    <w:rsid w:val="002341DA"/>
    <w:rsid w:val="00237EBD"/>
    <w:rsid w:val="002436C9"/>
    <w:rsid w:val="00250117"/>
    <w:rsid w:val="00250FA2"/>
    <w:rsid w:val="0025510D"/>
    <w:rsid w:val="00267C38"/>
    <w:rsid w:val="002722C2"/>
    <w:rsid w:val="00273E9F"/>
    <w:rsid w:val="00274D14"/>
    <w:rsid w:val="00283370"/>
    <w:rsid w:val="00287342"/>
    <w:rsid w:val="00287EA7"/>
    <w:rsid w:val="002960FF"/>
    <w:rsid w:val="002973FC"/>
    <w:rsid w:val="002978D4"/>
    <w:rsid w:val="002B635C"/>
    <w:rsid w:val="002C6B03"/>
    <w:rsid w:val="002C7A6C"/>
    <w:rsid w:val="002D301E"/>
    <w:rsid w:val="002E3A6A"/>
    <w:rsid w:val="002E5140"/>
    <w:rsid w:val="002F4E98"/>
    <w:rsid w:val="002F646E"/>
    <w:rsid w:val="002F6893"/>
    <w:rsid w:val="00301095"/>
    <w:rsid w:val="00325D69"/>
    <w:rsid w:val="0032677A"/>
    <w:rsid w:val="0033771D"/>
    <w:rsid w:val="00340AAF"/>
    <w:rsid w:val="00346F13"/>
    <w:rsid w:val="003703F0"/>
    <w:rsid w:val="00375E73"/>
    <w:rsid w:val="00387F43"/>
    <w:rsid w:val="003A1257"/>
    <w:rsid w:val="003B0FCE"/>
    <w:rsid w:val="003B1005"/>
    <w:rsid w:val="003B3815"/>
    <w:rsid w:val="003B70E9"/>
    <w:rsid w:val="003C17B3"/>
    <w:rsid w:val="003C274B"/>
    <w:rsid w:val="003D079E"/>
    <w:rsid w:val="003D2230"/>
    <w:rsid w:val="003D61D7"/>
    <w:rsid w:val="003E521A"/>
    <w:rsid w:val="003F2C76"/>
    <w:rsid w:val="003F7655"/>
    <w:rsid w:val="004030DC"/>
    <w:rsid w:val="00404EA8"/>
    <w:rsid w:val="00427EC9"/>
    <w:rsid w:val="00430C8C"/>
    <w:rsid w:val="0043307A"/>
    <w:rsid w:val="00436045"/>
    <w:rsid w:val="00436FD5"/>
    <w:rsid w:val="00461803"/>
    <w:rsid w:val="00461B30"/>
    <w:rsid w:val="004638EE"/>
    <w:rsid w:val="00477526"/>
    <w:rsid w:val="004776FC"/>
    <w:rsid w:val="00484EB8"/>
    <w:rsid w:val="004853E7"/>
    <w:rsid w:val="0049410D"/>
    <w:rsid w:val="00497C04"/>
    <w:rsid w:val="004A4254"/>
    <w:rsid w:val="004A736C"/>
    <w:rsid w:val="004A76F3"/>
    <w:rsid w:val="004B263C"/>
    <w:rsid w:val="004B311D"/>
    <w:rsid w:val="004C04D6"/>
    <w:rsid w:val="004C1685"/>
    <w:rsid w:val="004E6C7B"/>
    <w:rsid w:val="004E6FB7"/>
    <w:rsid w:val="004F0C30"/>
    <w:rsid w:val="004F4063"/>
    <w:rsid w:val="004F5A73"/>
    <w:rsid w:val="004F5B42"/>
    <w:rsid w:val="004F6112"/>
    <w:rsid w:val="004F6FAB"/>
    <w:rsid w:val="00503A1D"/>
    <w:rsid w:val="005069CB"/>
    <w:rsid w:val="00506FDD"/>
    <w:rsid w:val="005100C8"/>
    <w:rsid w:val="00512CFF"/>
    <w:rsid w:val="00527C7E"/>
    <w:rsid w:val="00527D04"/>
    <w:rsid w:val="0053335F"/>
    <w:rsid w:val="00546A26"/>
    <w:rsid w:val="0056389A"/>
    <w:rsid w:val="00564D5B"/>
    <w:rsid w:val="00581FFC"/>
    <w:rsid w:val="005860E9"/>
    <w:rsid w:val="005973A3"/>
    <w:rsid w:val="005A0201"/>
    <w:rsid w:val="005A49D7"/>
    <w:rsid w:val="005B3A9F"/>
    <w:rsid w:val="005B55F9"/>
    <w:rsid w:val="005D30DA"/>
    <w:rsid w:val="005D64C0"/>
    <w:rsid w:val="005D6AF0"/>
    <w:rsid w:val="005D7370"/>
    <w:rsid w:val="005E1A1C"/>
    <w:rsid w:val="005E6761"/>
    <w:rsid w:val="00601F15"/>
    <w:rsid w:val="00603367"/>
    <w:rsid w:val="0062126E"/>
    <w:rsid w:val="00624EB0"/>
    <w:rsid w:val="0063066B"/>
    <w:rsid w:val="006319B1"/>
    <w:rsid w:val="00645EAE"/>
    <w:rsid w:val="006477CB"/>
    <w:rsid w:val="00651B55"/>
    <w:rsid w:val="006600ED"/>
    <w:rsid w:val="006825E1"/>
    <w:rsid w:val="00691951"/>
    <w:rsid w:val="006A1FD1"/>
    <w:rsid w:val="006A33D7"/>
    <w:rsid w:val="006A77C6"/>
    <w:rsid w:val="006B3A40"/>
    <w:rsid w:val="006C1885"/>
    <w:rsid w:val="006E7D23"/>
    <w:rsid w:val="006F4D5B"/>
    <w:rsid w:val="006F7A42"/>
    <w:rsid w:val="00700A73"/>
    <w:rsid w:val="00710E2E"/>
    <w:rsid w:val="00712FDA"/>
    <w:rsid w:val="00716854"/>
    <w:rsid w:val="007218EF"/>
    <w:rsid w:val="00721E55"/>
    <w:rsid w:val="0074357F"/>
    <w:rsid w:val="007470CC"/>
    <w:rsid w:val="00747AC4"/>
    <w:rsid w:val="007533B7"/>
    <w:rsid w:val="00760C7B"/>
    <w:rsid w:val="00770FE1"/>
    <w:rsid w:val="00774972"/>
    <w:rsid w:val="007773AE"/>
    <w:rsid w:val="00780C21"/>
    <w:rsid w:val="00791664"/>
    <w:rsid w:val="00794D20"/>
    <w:rsid w:val="007950B2"/>
    <w:rsid w:val="007A357D"/>
    <w:rsid w:val="007A54BB"/>
    <w:rsid w:val="007B2F0D"/>
    <w:rsid w:val="007D40A2"/>
    <w:rsid w:val="007F6481"/>
    <w:rsid w:val="007F6CE4"/>
    <w:rsid w:val="008007E8"/>
    <w:rsid w:val="0080691A"/>
    <w:rsid w:val="00833716"/>
    <w:rsid w:val="00837A5C"/>
    <w:rsid w:val="008407B6"/>
    <w:rsid w:val="0085400A"/>
    <w:rsid w:val="00870DEC"/>
    <w:rsid w:val="0088209C"/>
    <w:rsid w:val="008830BF"/>
    <w:rsid w:val="0088755C"/>
    <w:rsid w:val="00887E4F"/>
    <w:rsid w:val="00891B9A"/>
    <w:rsid w:val="0089487D"/>
    <w:rsid w:val="008A5389"/>
    <w:rsid w:val="008B0D0D"/>
    <w:rsid w:val="008B3E87"/>
    <w:rsid w:val="008B6969"/>
    <w:rsid w:val="008C353C"/>
    <w:rsid w:val="008C6FCC"/>
    <w:rsid w:val="008C7801"/>
    <w:rsid w:val="008D6148"/>
    <w:rsid w:val="008E33C7"/>
    <w:rsid w:val="008E3D13"/>
    <w:rsid w:val="008F4A18"/>
    <w:rsid w:val="008F5C55"/>
    <w:rsid w:val="009000A2"/>
    <w:rsid w:val="00904B4A"/>
    <w:rsid w:val="0091221C"/>
    <w:rsid w:val="009152F1"/>
    <w:rsid w:val="009203C5"/>
    <w:rsid w:val="0092155A"/>
    <w:rsid w:val="00922B4F"/>
    <w:rsid w:val="00922F70"/>
    <w:rsid w:val="00930AD8"/>
    <w:rsid w:val="00935D76"/>
    <w:rsid w:val="00936744"/>
    <w:rsid w:val="00937ECA"/>
    <w:rsid w:val="00942D0E"/>
    <w:rsid w:val="0095612A"/>
    <w:rsid w:val="009675E9"/>
    <w:rsid w:val="009808AF"/>
    <w:rsid w:val="00990BCA"/>
    <w:rsid w:val="009A336F"/>
    <w:rsid w:val="009A3C0F"/>
    <w:rsid w:val="009A4110"/>
    <w:rsid w:val="009A6023"/>
    <w:rsid w:val="009B132E"/>
    <w:rsid w:val="009B1644"/>
    <w:rsid w:val="009C16B7"/>
    <w:rsid w:val="009D300A"/>
    <w:rsid w:val="009D39A8"/>
    <w:rsid w:val="009E3733"/>
    <w:rsid w:val="009E3B12"/>
    <w:rsid w:val="009E5C77"/>
    <w:rsid w:val="009F625B"/>
    <w:rsid w:val="009F70AC"/>
    <w:rsid w:val="00A10C57"/>
    <w:rsid w:val="00A15A3D"/>
    <w:rsid w:val="00A23133"/>
    <w:rsid w:val="00A24E14"/>
    <w:rsid w:val="00A339C8"/>
    <w:rsid w:val="00A33F60"/>
    <w:rsid w:val="00A3445C"/>
    <w:rsid w:val="00A37919"/>
    <w:rsid w:val="00A443E1"/>
    <w:rsid w:val="00A4792A"/>
    <w:rsid w:val="00A51A52"/>
    <w:rsid w:val="00A537E0"/>
    <w:rsid w:val="00A6078B"/>
    <w:rsid w:val="00A7142F"/>
    <w:rsid w:val="00A76B14"/>
    <w:rsid w:val="00A828F4"/>
    <w:rsid w:val="00AB565F"/>
    <w:rsid w:val="00AC4266"/>
    <w:rsid w:val="00AD2D29"/>
    <w:rsid w:val="00AD44E1"/>
    <w:rsid w:val="00AD79B9"/>
    <w:rsid w:val="00AE0B05"/>
    <w:rsid w:val="00AE2F13"/>
    <w:rsid w:val="00AE5BA0"/>
    <w:rsid w:val="00AE6C0C"/>
    <w:rsid w:val="00AE74BD"/>
    <w:rsid w:val="00AF36F8"/>
    <w:rsid w:val="00B0379A"/>
    <w:rsid w:val="00B142EC"/>
    <w:rsid w:val="00B22B36"/>
    <w:rsid w:val="00B3095C"/>
    <w:rsid w:val="00B3183B"/>
    <w:rsid w:val="00B35D02"/>
    <w:rsid w:val="00B42AA4"/>
    <w:rsid w:val="00B52C62"/>
    <w:rsid w:val="00B54FBC"/>
    <w:rsid w:val="00B647F0"/>
    <w:rsid w:val="00B67FA7"/>
    <w:rsid w:val="00B87B5E"/>
    <w:rsid w:val="00BA5536"/>
    <w:rsid w:val="00BA7F84"/>
    <w:rsid w:val="00BB5465"/>
    <w:rsid w:val="00BB6332"/>
    <w:rsid w:val="00BC6E81"/>
    <w:rsid w:val="00BD7657"/>
    <w:rsid w:val="00BE7ACA"/>
    <w:rsid w:val="00BF45D2"/>
    <w:rsid w:val="00BF4F05"/>
    <w:rsid w:val="00BF500E"/>
    <w:rsid w:val="00C01775"/>
    <w:rsid w:val="00C018D1"/>
    <w:rsid w:val="00C05467"/>
    <w:rsid w:val="00C07958"/>
    <w:rsid w:val="00C11624"/>
    <w:rsid w:val="00C205F0"/>
    <w:rsid w:val="00C219BD"/>
    <w:rsid w:val="00C21E3A"/>
    <w:rsid w:val="00C458FB"/>
    <w:rsid w:val="00C51629"/>
    <w:rsid w:val="00C552B7"/>
    <w:rsid w:val="00C62AD0"/>
    <w:rsid w:val="00C63F2A"/>
    <w:rsid w:val="00C7305B"/>
    <w:rsid w:val="00C7470C"/>
    <w:rsid w:val="00C80446"/>
    <w:rsid w:val="00C8211B"/>
    <w:rsid w:val="00C8213A"/>
    <w:rsid w:val="00C83A6C"/>
    <w:rsid w:val="00C84F19"/>
    <w:rsid w:val="00C853A3"/>
    <w:rsid w:val="00C902C5"/>
    <w:rsid w:val="00CA7695"/>
    <w:rsid w:val="00CB034D"/>
    <w:rsid w:val="00CD4DEB"/>
    <w:rsid w:val="00CD5178"/>
    <w:rsid w:val="00CE0FCE"/>
    <w:rsid w:val="00CE1CAC"/>
    <w:rsid w:val="00CE5F48"/>
    <w:rsid w:val="00CF4F9D"/>
    <w:rsid w:val="00CF6531"/>
    <w:rsid w:val="00D05ADC"/>
    <w:rsid w:val="00D06F55"/>
    <w:rsid w:val="00D15691"/>
    <w:rsid w:val="00D158AD"/>
    <w:rsid w:val="00D20D80"/>
    <w:rsid w:val="00D371A1"/>
    <w:rsid w:val="00D4518B"/>
    <w:rsid w:val="00D5686C"/>
    <w:rsid w:val="00D67EE3"/>
    <w:rsid w:val="00D73E3B"/>
    <w:rsid w:val="00D77B0F"/>
    <w:rsid w:val="00D84419"/>
    <w:rsid w:val="00D91071"/>
    <w:rsid w:val="00D9448E"/>
    <w:rsid w:val="00DA32A9"/>
    <w:rsid w:val="00DA634E"/>
    <w:rsid w:val="00DB4E6F"/>
    <w:rsid w:val="00DC2F6E"/>
    <w:rsid w:val="00DC4C48"/>
    <w:rsid w:val="00DD5F2D"/>
    <w:rsid w:val="00DD79BF"/>
    <w:rsid w:val="00DE294A"/>
    <w:rsid w:val="00DE61B8"/>
    <w:rsid w:val="00DF1567"/>
    <w:rsid w:val="00DF2B0F"/>
    <w:rsid w:val="00E10E2F"/>
    <w:rsid w:val="00E3445C"/>
    <w:rsid w:val="00E41484"/>
    <w:rsid w:val="00E41DB5"/>
    <w:rsid w:val="00E47C43"/>
    <w:rsid w:val="00E51446"/>
    <w:rsid w:val="00E51AEE"/>
    <w:rsid w:val="00E60D12"/>
    <w:rsid w:val="00E613BB"/>
    <w:rsid w:val="00E6368C"/>
    <w:rsid w:val="00E719F9"/>
    <w:rsid w:val="00E823A2"/>
    <w:rsid w:val="00E94FF6"/>
    <w:rsid w:val="00EB071D"/>
    <w:rsid w:val="00EC0A9D"/>
    <w:rsid w:val="00EC3DA3"/>
    <w:rsid w:val="00EE27A8"/>
    <w:rsid w:val="00EF1005"/>
    <w:rsid w:val="00EF7E8B"/>
    <w:rsid w:val="00F02D97"/>
    <w:rsid w:val="00F054EC"/>
    <w:rsid w:val="00F1029E"/>
    <w:rsid w:val="00F572E9"/>
    <w:rsid w:val="00F65601"/>
    <w:rsid w:val="00F710CC"/>
    <w:rsid w:val="00F747A3"/>
    <w:rsid w:val="00F80620"/>
    <w:rsid w:val="00F900CE"/>
    <w:rsid w:val="00F91B33"/>
    <w:rsid w:val="00F923CC"/>
    <w:rsid w:val="00F94961"/>
    <w:rsid w:val="00FA18B7"/>
    <w:rsid w:val="00FA251B"/>
    <w:rsid w:val="00FA7EC5"/>
    <w:rsid w:val="00FB3755"/>
    <w:rsid w:val="00FB38E6"/>
    <w:rsid w:val="00FB50BC"/>
    <w:rsid w:val="00FB59CA"/>
    <w:rsid w:val="00FC0F19"/>
    <w:rsid w:val="00FC79C3"/>
    <w:rsid w:val="00FC7C5C"/>
    <w:rsid w:val="00FD480B"/>
    <w:rsid w:val="00FE2E59"/>
    <w:rsid w:val="00FE73DB"/>
    <w:rsid w:val="00FF0C31"/>
    <w:rsid w:val="01557A3F"/>
    <w:rsid w:val="01626D55"/>
    <w:rsid w:val="01FB7034"/>
    <w:rsid w:val="023C66B8"/>
    <w:rsid w:val="024141DC"/>
    <w:rsid w:val="024B344F"/>
    <w:rsid w:val="031128A1"/>
    <w:rsid w:val="03494ECC"/>
    <w:rsid w:val="03CC5ECA"/>
    <w:rsid w:val="042A0462"/>
    <w:rsid w:val="04AA4233"/>
    <w:rsid w:val="04EE14A4"/>
    <w:rsid w:val="05A96C84"/>
    <w:rsid w:val="06F632B9"/>
    <w:rsid w:val="072B6851"/>
    <w:rsid w:val="079600FE"/>
    <w:rsid w:val="07BF12C2"/>
    <w:rsid w:val="07EC3B1C"/>
    <w:rsid w:val="08081149"/>
    <w:rsid w:val="09304FAA"/>
    <w:rsid w:val="09A824A0"/>
    <w:rsid w:val="0A2574B3"/>
    <w:rsid w:val="0A3C44D7"/>
    <w:rsid w:val="0A4444E4"/>
    <w:rsid w:val="0A575703"/>
    <w:rsid w:val="0AF7560D"/>
    <w:rsid w:val="0BC301D9"/>
    <w:rsid w:val="0C4861EA"/>
    <w:rsid w:val="0C8D3000"/>
    <w:rsid w:val="0CA25018"/>
    <w:rsid w:val="0CEC69C1"/>
    <w:rsid w:val="0D154302"/>
    <w:rsid w:val="0D1D7190"/>
    <w:rsid w:val="0DB34DC5"/>
    <w:rsid w:val="0DBE6B80"/>
    <w:rsid w:val="0DC06BC1"/>
    <w:rsid w:val="0E0A401C"/>
    <w:rsid w:val="0E224840"/>
    <w:rsid w:val="0E660D0A"/>
    <w:rsid w:val="0F24158C"/>
    <w:rsid w:val="0F40581B"/>
    <w:rsid w:val="0F9C62AB"/>
    <w:rsid w:val="100A73CA"/>
    <w:rsid w:val="10360A28"/>
    <w:rsid w:val="105B53E4"/>
    <w:rsid w:val="109A074C"/>
    <w:rsid w:val="10A4325A"/>
    <w:rsid w:val="114C5FF1"/>
    <w:rsid w:val="118123DB"/>
    <w:rsid w:val="118D31D7"/>
    <w:rsid w:val="119B5D70"/>
    <w:rsid w:val="119D44CA"/>
    <w:rsid w:val="1220184D"/>
    <w:rsid w:val="1270704D"/>
    <w:rsid w:val="12876C72"/>
    <w:rsid w:val="128D65FD"/>
    <w:rsid w:val="128F203C"/>
    <w:rsid w:val="129F4319"/>
    <w:rsid w:val="12DD2240"/>
    <w:rsid w:val="12EC7C9C"/>
    <w:rsid w:val="137C280D"/>
    <w:rsid w:val="13913144"/>
    <w:rsid w:val="139539BD"/>
    <w:rsid w:val="1399481A"/>
    <w:rsid w:val="13AE71F7"/>
    <w:rsid w:val="13B65166"/>
    <w:rsid w:val="13DE01AE"/>
    <w:rsid w:val="13FD7AD9"/>
    <w:rsid w:val="140D77FD"/>
    <w:rsid w:val="140F3276"/>
    <w:rsid w:val="141562BE"/>
    <w:rsid w:val="14193B86"/>
    <w:rsid w:val="141D5E0F"/>
    <w:rsid w:val="144F4060"/>
    <w:rsid w:val="147D5F25"/>
    <w:rsid w:val="14D26837"/>
    <w:rsid w:val="14EA5755"/>
    <w:rsid w:val="152C6339"/>
    <w:rsid w:val="166D4C9E"/>
    <w:rsid w:val="16CC1E75"/>
    <w:rsid w:val="17101F77"/>
    <w:rsid w:val="17516817"/>
    <w:rsid w:val="18EA696C"/>
    <w:rsid w:val="19166537"/>
    <w:rsid w:val="19525097"/>
    <w:rsid w:val="19AA0FA9"/>
    <w:rsid w:val="19B418B8"/>
    <w:rsid w:val="1A7A51CC"/>
    <w:rsid w:val="1A880997"/>
    <w:rsid w:val="1A8A1E50"/>
    <w:rsid w:val="1B391A9C"/>
    <w:rsid w:val="1B784A1C"/>
    <w:rsid w:val="1BB27180"/>
    <w:rsid w:val="1C966414"/>
    <w:rsid w:val="1CCC6940"/>
    <w:rsid w:val="1D2F47C0"/>
    <w:rsid w:val="1F0011CD"/>
    <w:rsid w:val="20497803"/>
    <w:rsid w:val="2107263D"/>
    <w:rsid w:val="210B3B9D"/>
    <w:rsid w:val="210B3DF8"/>
    <w:rsid w:val="21336F8E"/>
    <w:rsid w:val="21466BA7"/>
    <w:rsid w:val="2190618E"/>
    <w:rsid w:val="21AD2926"/>
    <w:rsid w:val="21AD6D40"/>
    <w:rsid w:val="220F15EE"/>
    <w:rsid w:val="223E448F"/>
    <w:rsid w:val="22FD1376"/>
    <w:rsid w:val="233649D3"/>
    <w:rsid w:val="236B257D"/>
    <w:rsid w:val="23C67966"/>
    <w:rsid w:val="253D7326"/>
    <w:rsid w:val="25436572"/>
    <w:rsid w:val="2585551C"/>
    <w:rsid w:val="25C7120D"/>
    <w:rsid w:val="25DA0320"/>
    <w:rsid w:val="266A2EE7"/>
    <w:rsid w:val="26B40B71"/>
    <w:rsid w:val="26C2328E"/>
    <w:rsid w:val="26F176CF"/>
    <w:rsid w:val="27AE16A9"/>
    <w:rsid w:val="27D75CA5"/>
    <w:rsid w:val="2889433C"/>
    <w:rsid w:val="28D948AF"/>
    <w:rsid w:val="28EB66D4"/>
    <w:rsid w:val="28F84BD6"/>
    <w:rsid w:val="29496ECC"/>
    <w:rsid w:val="29A30860"/>
    <w:rsid w:val="2A1D4C7F"/>
    <w:rsid w:val="2AAA5CB7"/>
    <w:rsid w:val="2ABA6F5E"/>
    <w:rsid w:val="2AC450FA"/>
    <w:rsid w:val="2ACA3AF6"/>
    <w:rsid w:val="2AE333EA"/>
    <w:rsid w:val="2B9B2B99"/>
    <w:rsid w:val="2C044474"/>
    <w:rsid w:val="2C63194A"/>
    <w:rsid w:val="2C954FA0"/>
    <w:rsid w:val="2CB41F83"/>
    <w:rsid w:val="2CFE1842"/>
    <w:rsid w:val="2D07470B"/>
    <w:rsid w:val="2D3D5B48"/>
    <w:rsid w:val="2D581074"/>
    <w:rsid w:val="2D96765D"/>
    <w:rsid w:val="2DF36570"/>
    <w:rsid w:val="2E2831C7"/>
    <w:rsid w:val="2EA66F14"/>
    <w:rsid w:val="2EBF3CB1"/>
    <w:rsid w:val="2ED1785D"/>
    <w:rsid w:val="2F0C4ABE"/>
    <w:rsid w:val="2F527179"/>
    <w:rsid w:val="2F713AA0"/>
    <w:rsid w:val="2F8070A7"/>
    <w:rsid w:val="2FB461D1"/>
    <w:rsid w:val="2FC17A65"/>
    <w:rsid w:val="2FEA0C29"/>
    <w:rsid w:val="301F3720"/>
    <w:rsid w:val="3061222A"/>
    <w:rsid w:val="308D1737"/>
    <w:rsid w:val="31181CFC"/>
    <w:rsid w:val="311837EF"/>
    <w:rsid w:val="313E4B48"/>
    <w:rsid w:val="320C542C"/>
    <w:rsid w:val="322936D7"/>
    <w:rsid w:val="323A4620"/>
    <w:rsid w:val="32C263C3"/>
    <w:rsid w:val="32FF3174"/>
    <w:rsid w:val="33F71FE3"/>
    <w:rsid w:val="344B7ED9"/>
    <w:rsid w:val="34666505"/>
    <w:rsid w:val="350F0F1C"/>
    <w:rsid w:val="35C441A4"/>
    <w:rsid w:val="366D5DEC"/>
    <w:rsid w:val="36992FA1"/>
    <w:rsid w:val="36DD0212"/>
    <w:rsid w:val="37645B6D"/>
    <w:rsid w:val="37D73792"/>
    <w:rsid w:val="380E49D5"/>
    <w:rsid w:val="38184717"/>
    <w:rsid w:val="38565474"/>
    <w:rsid w:val="38C67D33"/>
    <w:rsid w:val="391F74BC"/>
    <w:rsid w:val="3938118D"/>
    <w:rsid w:val="3AA472C4"/>
    <w:rsid w:val="3AD1189A"/>
    <w:rsid w:val="3AF9017E"/>
    <w:rsid w:val="3B224106"/>
    <w:rsid w:val="3B456D5C"/>
    <w:rsid w:val="3B674E03"/>
    <w:rsid w:val="3BCB5890"/>
    <w:rsid w:val="3BDD02C5"/>
    <w:rsid w:val="3C231744"/>
    <w:rsid w:val="3D27432C"/>
    <w:rsid w:val="3D56682D"/>
    <w:rsid w:val="3D5D5666"/>
    <w:rsid w:val="3DD34EFD"/>
    <w:rsid w:val="3DE71329"/>
    <w:rsid w:val="3E0930F8"/>
    <w:rsid w:val="3E0C014D"/>
    <w:rsid w:val="3E9E7EF4"/>
    <w:rsid w:val="3EA62CD7"/>
    <w:rsid w:val="3EBD28FC"/>
    <w:rsid w:val="3EF40857"/>
    <w:rsid w:val="3F112386"/>
    <w:rsid w:val="3FB36AFF"/>
    <w:rsid w:val="3FC6532D"/>
    <w:rsid w:val="406903B9"/>
    <w:rsid w:val="408A636F"/>
    <w:rsid w:val="408F05F9"/>
    <w:rsid w:val="40980F08"/>
    <w:rsid w:val="40F46821"/>
    <w:rsid w:val="411E081A"/>
    <w:rsid w:val="41EE4ADF"/>
    <w:rsid w:val="42900625"/>
    <w:rsid w:val="439242B1"/>
    <w:rsid w:val="43B3461E"/>
    <w:rsid w:val="43D877F5"/>
    <w:rsid w:val="44305883"/>
    <w:rsid w:val="44797F70"/>
    <w:rsid w:val="44996E9A"/>
    <w:rsid w:val="44C147DB"/>
    <w:rsid w:val="44DE6309"/>
    <w:rsid w:val="45322BE2"/>
    <w:rsid w:val="45600692"/>
    <w:rsid w:val="45F621B4"/>
    <w:rsid w:val="46A63BDA"/>
    <w:rsid w:val="46AD3081"/>
    <w:rsid w:val="48C93947"/>
    <w:rsid w:val="48DD0CA2"/>
    <w:rsid w:val="48DF209C"/>
    <w:rsid w:val="49177011"/>
    <w:rsid w:val="49331971"/>
    <w:rsid w:val="493A36B0"/>
    <w:rsid w:val="4A881849"/>
    <w:rsid w:val="4AA80B2F"/>
    <w:rsid w:val="4AB443EC"/>
    <w:rsid w:val="4AF22A01"/>
    <w:rsid w:val="4AF876DD"/>
    <w:rsid w:val="4B400582"/>
    <w:rsid w:val="4C2B6930"/>
    <w:rsid w:val="4C431ECB"/>
    <w:rsid w:val="4C721BF8"/>
    <w:rsid w:val="4C850C19"/>
    <w:rsid w:val="4CD51C9D"/>
    <w:rsid w:val="4D267823"/>
    <w:rsid w:val="4E0D7F90"/>
    <w:rsid w:val="4E523562"/>
    <w:rsid w:val="4EFD2805"/>
    <w:rsid w:val="50033E4B"/>
    <w:rsid w:val="50852AB2"/>
    <w:rsid w:val="50F54C60"/>
    <w:rsid w:val="5119380F"/>
    <w:rsid w:val="51360F4D"/>
    <w:rsid w:val="513769CE"/>
    <w:rsid w:val="5199616A"/>
    <w:rsid w:val="51BD0E26"/>
    <w:rsid w:val="51C8534D"/>
    <w:rsid w:val="52FE08FA"/>
    <w:rsid w:val="535A6478"/>
    <w:rsid w:val="535B75CD"/>
    <w:rsid w:val="537A1BC0"/>
    <w:rsid w:val="538C1421"/>
    <w:rsid w:val="538D6EA3"/>
    <w:rsid w:val="539B083F"/>
    <w:rsid w:val="53B65679"/>
    <w:rsid w:val="53BC636D"/>
    <w:rsid w:val="54B65023"/>
    <w:rsid w:val="54BE16E7"/>
    <w:rsid w:val="55BA15F2"/>
    <w:rsid w:val="55CA71B9"/>
    <w:rsid w:val="55E67AAC"/>
    <w:rsid w:val="55FA184D"/>
    <w:rsid w:val="5617654C"/>
    <w:rsid w:val="56233F5F"/>
    <w:rsid w:val="562805B3"/>
    <w:rsid w:val="563748FD"/>
    <w:rsid w:val="56550314"/>
    <w:rsid w:val="56665134"/>
    <w:rsid w:val="57A411D6"/>
    <w:rsid w:val="57BB1253"/>
    <w:rsid w:val="57D85C2D"/>
    <w:rsid w:val="581E3101"/>
    <w:rsid w:val="58A3650B"/>
    <w:rsid w:val="59E73D0F"/>
    <w:rsid w:val="5A036F60"/>
    <w:rsid w:val="5A2A0227"/>
    <w:rsid w:val="5A425322"/>
    <w:rsid w:val="5A4675AB"/>
    <w:rsid w:val="5A897C95"/>
    <w:rsid w:val="5B27304C"/>
    <w:rsid w:val="5B4D0671"/>
    <w:rsid w:val="5C1A3586"/>
    <w:rsid w:val="5C6C2592"/>
    <w:rsid w:val="5C867ADA"/>
    <w:rsid w:val="5D9A1CC5"/>
    <w:rsid w:val="5ED8702A"/>
    <w:rsid w:val="60025812"/>
    <w:rsid w:val="60506CE6"/>
    <w:rsid w:val="60E811FA"/>
    <w:rsid w:val="61842912"/>
    <w:rsid w:val="61996BAE"/>
    <w:rsid w:val="62127397"/>
    <w:rsid w:val="624E2E3B"/>
    <w:rsid w:val="625A33E9"/>
    <w:rsid w:val="625D436D"/>
    <w:rsid w:val="62F073A6"/>
    <w:rsid w:val="63043D0B"/>
    <w:rsid w:val="63F22891"/>
    <w:rsid w:val="6404728B"/>
    <w:rsid w:val="640B17CD"/>
    <w:rsid w:val="646C3A06"/>
    <w:rsid w:val="64D7563A"/>
    <w:rsid w:val="64DE058B"/>
    <w:rsid w:val="654B3E73"/>
    <w:rsid w:val="65582D93"/>
    <w:rsid w:val="657D3011"/>
    <w:rsid w:val="65806194"/>
    <w:rsid w:val="65E42094"/>
    <w:rsid w:val="664173D0"/>
    <w:rsid w:val="668F7D8F"/>
    <w:rsid w:val="676254A4"/>
    <w:rsid w:val="67A13C10"/>
    <w:rsid w:val="67A24F14"/>
    <w:rsid w:val="67CB129B"/>
    <w:rsid w:val="67CC754E"/>
    <w:rsid w:val="685D7846"/>
    <w:rsid w:val="68863414"/>
    <w:rsid w:val="68A57BB1"/>
    <w:rsid w:val="68C93613"/>
    <w:rsid w:val="69080B1D"/>
    <w:rsid w:val="69117181"/>
    <w:rsid w:val="691B0EFE"/>
    <w:rsid w:val="6983542A"/>
    <w:rsid w:val="699C40E5"/>
    <w:rsid w:val="6A584189"/>
    <w:rsid w:val="6A942CE9"/>
    <w:rsid w:val="6AF44007"/>
    <w:rsid w:val="6B2774B7"/>
    <w:rsid w:val="6B655732"/>
    <w:rsid w:val="6B8128D5"/>
    <w:rsid w:val="6B873576"/>
    <w:rsid w:val="6C4012A2"/>
    <w:rsid w:val="6CB93DB8"/>
    <w:rsid w:val="6CEE6D42"/>
    <w:rsid w:val="6D170809"/>
    <w:rsid w:val="6DD21A00"/>
    <w:rsid w:val="6DD61B41"/>
    <w:rsid w:val="6DF4388B"/>
    <w:rsid w:val="6E405E13"/>
    <w:rsid w:val="6E4965FC"/>
    <w:rsid w:val="6F5D4C87"/>
    <w:rsid w:val="6FA8783E"/>
    <w:rsid w:val="6FEC0000"/>
    <w:rsid w:val="70100167"/>
    <w:rsid w:val="703564D1"/>
    <w:rsid w:val="70503491"/>
    <w:rsid w:val="707465EF"/>
    <w:rsid w:val="70AF009E"/>
    <w:rsid w:val="714B246D"/>
    <w:rsid w:val="717A2FBC"/>
    <w:rsid w:val="717C59AD"/>
    <w:rsid w:val="718E1C5D"/>
    <w:rsid w:val="71D1501F"/>
    <w:rsid w:val="720F536D"/>
    <w:rsid w:val="72210CBE"/>
    <w:rsid w:val="73727874"/>
    <w:rsid w:val="73FE4ED9"/>
    <w:rsid w:val="74027162"/>
    <w:rsid w:val="748E25CA"/>
    <w:rsid w:val="74AF2AFE"/>
    <w:rsid w:val="74BB61F3"/>
    <w:rsid w:val="74D379E1"/>
    <w:rsid w:val="76446418"/>
    <w:rsid w:val="7646191B"/>
    <w:rsid w:val="76764668"/>
    <w:rsid w:val="76E77774"/>
    <w:rsid w:val="77334A1B"/>
    <w:rsid w:val="7771703D"/>
    <w:rsid w:val="77D72621"/>
    <w:rsid w:val="78126481"/>
    <w:rsid w:val="78363023"/>
    <w:rsid w:val="784F55D0"/>
    <w:rsid w:val="788F055B"/>
    <w:rsid w:val="78B26191"/>
    <w:rsid w:val="78F10436"/>
    <w:rsid w:val="78FF6FF6"/>
    <w:rsid w:val="795821A2"/>
    <w:rsid w:val="795934A7"/>
    <w:rsid w:val="7AB94F83"/>
    <w:rsid w:val="7AD4000F"/>
    <w:rsid w:val="7B4B6523"/>
    <w:rsid w:val="7B5E2E1A"/>
    <w:rsid w:val="7BA774D1"/>
    <w:rsid w:val="7BFD4E3C"/>
    <w:rsid w:val="7C57180B"/>
    <w:rsid w:val="7C62561D"/>
    <w:rsid w:val="7CC321BF"/>
    <w:rsid w:val="7CD12833"/>
    <w:rsid w:val="7CD926BC"/>
    <w:rsid w:val="7CD92723"/>
    <w:rsid w:val="7D80447E"/>
    <w:rsid w:val="7DAC5273"/>
    <w:rsid w:val="7DE700C5"/>
    <w:rsid w:val="7EAD3051"/>
    <w:rsid w:val="7ED10C1A"/>
    <w:rsid w:val="7F033C98"/>
    <w:rsid w:val="7F066EF6"/>
    <w:rsid w:val="7F0F1D84"/>
    <w:rsid w:val="7F7207A3"/>
    <w:rsid w:val="7F794D95"/>
    <w:rsid w:val="7F8B38CC"/>
    <w:rsid w:val="7FB0104A"/>
    <w:rsid w:val="7FC811B2"/>
    <w:rsid w:val="B67F3CC1"/>
    <w:rsid w:val="C5BE1D45"/>
    <w:rsid w:val="E52F10C4"/>
    <w:rsid w:val="FF8B16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31"/>
    <w:qFormat/>
    <w:uiPriority w:val="9"/>
    <w:pPr>
      <w:keepNext/>
      <w:keepLines/>
      <w:spacing w:before="340" w:after="330" w:line="578" w:lineRule="auto"/>
      <w:outlineLvl w:val="0"/>
    </w:pPr>
    <w:rPr>
      <w:rFonts w:cs="Times New Roman"/>
      <w:b/>
      <w:bCs/>
      <w:kern w:val="44"/>
      <w:sz w:val="44"/>
      <w:szCs w:val="44"/>
    </w:rPr>
  </w:style>
  <w:style w:type="character" w:default="1" w:styleId="26">
    <w:name w:val="Default Paragraph Font"/>
    <w:unhideWhenUsed/>
    <w:qFormat/>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widowControl w:val="0"/>
      <w:ind w:left="2520" w:leftChars="1200"/>
      <w:jc w:val="both"/>
    </w:pPr>
    <w:rPr>
      <w:rFonts w:ascii="Calibri" w:hAnsi="Calibri" w:eastAsia="宋体" w:cs="Times New Roman"/>
      <w:kern w:val="2"/>
      <w:sz w:val="21"/>
      <w:szCs w:val="22"/>
    </w:rPr>
  </w:style>
  <w:style w:type="paragraph" w:styleId="4">
    <w:name w:val="Document Map"/>
    <w:basedOn w:val="1"/>
    <w:link w:val="32"/>
    <w:unhideWhenUsed/>
    <w:qFormat/>
    <w:uiPriority w:val="99"/>
    <w:rPr>
      <w:rFonts w:cs="Times New Roman"/>
      <w:sz w:val="18"/>
      <w:szCs w:val="18"/>
    </w:rPr>
  </w:style>
  <w:style w:type="paragraph" w:styleId="5">
    <w:name w:val="annotation text"/>
    <w:basedOn w:val="1"/>
    <w:link w:val="33"/>
    <w:unhideWhenUsed/>
    <w:qFormat/>
    <w:uiPriority w:val="99"/>
    <w:rPr>
      <w:rFonts w:cs="Times New Roman"/>
    </w:rPr>
  </w:style>
  <w:style w:type="paragraph" w:styleId="6">
    <w:name w:val="Body Text Indent"/>
    <w:basedOn w:val="1"/>
    <w:next w:val="1"/>
    <w:qFormat/>
    <w:uiPriority w:val="0"/>
    <w:pPr>
      <w:spacing w:line="480" w:lineRule="exact"/>
      <w:ind w:firstLine="480"/>
    </w:pPr>
    <w:rPr>
      <w:rFonts w:ascii="宋体" w:hAnsi="宋体"/>
    </w:rPr>
  </w:style>
  <w:style w:type="paragraph" w:styleId="7">
    <w:name w:val="toc 5"/>
    <w:basedOn w:val="1"/>
    <w:next w:val="1"/>
    <w:qFormat/>
    <w:uiPriority w:val="39"/>
    <w:pPr>
      <w:widowControl w:val="0"/>
      <w:tabs>
        <w:tab w:val="right" w:leader="dot" w:pos="8296"/>
      </w:tabs>
      <w:ind w:left="1050" w:leftChars="500"/>
      <w:jc w:val="both"/>
    </w:pPr>
    <w:rPr>
      <w:rFonts w:ascii="Calibri" w:hAnsi="Calibri" w:cs="Times New Roman"/>
      <w:kern w:val="2"/>
      <w:sz w:val="21"/>
      <w:szCs w:val="22"/>
    </w:rPr>
  </w:style>
  <w:style w:type="paragraph" w:styleId="8">
    <w:name w:val="toc 3"/>
    <w:basedOn w:val="1"/>
    <w:next w:val="1"/>
    <w:qFormat/>
    <w:uiPriority w:val="39"/>
    <w:pPr>
      <w:widowControl w:val="0"/>
      <w:ind w:left="840" w:leftChars="400"/>
      <w:jc w:val="both"/>
    </w:pPr>
    <w:rPr>
      <w:rFonts w:ascii="Calibri" w:hAnsi="Calibri" w:cs="Times New Roman"/>
      <w:kern w:val="2"/>
      <w:sz w:val="21"/>
      <w:szCs w:val="22"/>
    </w:rPr>
  </w:style>
  <w:style w:type="paragraph" w:styleId="9">
    <w:name w:val="Plain Text"/>
    <w:basedOn w:val="1"/>
    <w:qFormat/>
    <w:uiPriority w:val="0"/>
    <w:rPr>
      <w:rFonts w:ascii="宋体" w:hAnsi="Courier New" w:cs="Courier New"/>
      <w:szCs w:val="21"/>
    </w:rPr>
  </w:style>
  <w:style w:type="paragraph" w:styleId="10">
    <w:name w:val="toc 8"/>
    <w:basedOn w:val="1"/>
    <w:next w:val="1"/>
    <w:unhideWhenUsed/>
    <w:qFormat/>
    <w:uiPriority w:val="39"/>
    <w:pPr>
      <w:widowControl w:val="0"/>
      <w:ind w:left="2940" w:leftChars="1400"/>
      <w:jc w:val="both"/>
    </w:pPr>
    <w:rPr>
      <w:rFonts w:ascii="Calibri" w:hAnsi="Calibri" w:eastAsia="宋体" w:cs="Times New Roman"/>
      <w:kern w:val="2"/>
      <w:sz w:val="21"/>
      <w:szCs w:val="22"/>
    </w:rPr>
  </w:style>
  <w:style w:type="paragraph" w:styleId="11">
    <w:name w:val="Date"/>
    <w:basedOn w:val="1"/>
    <w:next w:val="1"/>
    <w:link w:val="34"/>
    <w:unhideWhenUsed/>
    <w:qFormat/>
    <w:uiPriority w:val="99"/>
    <w:pPr>
      <w:ind w:left="100" w:leftChars="2500"/>
    </w:pPr>
    <w:rPr>
      <w:rFonts w:cs="Times New Roman"/>
    </w:rPr>
  </w:style>
  <w:style w:type="paragraph" w:styleId="12">
    <w:name w:val="Balloon Text"/>
    <w:basedOn w:val="1"/>
    <w:link w:val="35"/>
    <w:unhideWhenUsed/>
    <w:qFormat/>
    <w:uiPriority w:val="99"/>
    <w:rPr>
      <w:rFonts w:cs="Times New Roman"/>
      <w:sz w:val="18"/>
      <w:szCs w:val="18"/>
    </w:rPr>
  </w:style>
  <w:style w:type="paragraph" w:styleId="13">
    <w:name w:val="footer"/>
    <w:basedOn w:val="1"/>
    <w:link w:val="36"/>
    <w:unhideWhenUsed/>
    <w:qFormat/>
    <w:uiPriority w:val="0"/>
    <w:pPr>
      <w:tabs>
        <w:tab w:val="center" w:pos="4153"/>
        <w:tab w:val="right" w:pos="8306"/>
      </w:tabs>
      <w:snapToGrid w:val="0"/>
    </w:pPr>
    <w:rPr>
      <w:rFonts w:cs="Times New Roman"/>
      <w:sz w:val="18"/>
      <w:szCs w:val="18"/>
    </w:rPr>
  </w:style>
  <w:style w:type="paragraph" w:styleId="14">
    <w:name w:val="header"/>
    <w:basedOn w:val="1"/>
    <w:link w:val="37"/>
    <w:unhideWhenUsed/>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15">
    <w:name w:val="toc 1"/>
    <w:basedOn w:val="1"/>
    <w:next w:val="1"/>
    <w:unhideWhenUsed/>
    <w:qFormat/>
    <w:uiPriority w:val="39"/>
    <w:rPr>
      <w:rFonts w:eastAsia="黑体"/>
      <w:sz w:val="28"/>
    </w:rPr>
  </w:style>
  <w:style w:type="paragraph" w:styleId="16">
    <w:name w:val="toc 4"/>
    <w:basedOn w:val="1"/>
    <w:next w:val="1"/>
    <w:qFormat/>
    <w:uiPriority w:val="39"/>
    <w:pPr>
      <w:widowControl w:val="0"/>
      <w:tabs>
        <w:tab w:val="left" w:pos="1890"/>
        <w:tab w:val="right" w:leader="dot" w:pos="8296"/>
      </w:tabs>
      <w:ind w:left="630" w:leftChars="300"/>
      <w:jc w:val="both"/>
    </w:pPr>
    <w:rPr>
      <w:rFonts w:ascii="Calibri" w:hAnsi="Calibri" w:cs="Times New Roman"/>
      <w:kern w:val="2"/>
      <w:sz w:val="21"/>
      <w:szCs w:val="22"/>
    </w:rPr>
  </w:style>
  <w:style w:type="paragraph" w:styleId="17">
    <w:name w:val="Subtitle"/>
    <w:basedOn w:val="1"/>
    <w:next w:val="1"/>
    <w:link w:val="38"/>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6"/>
    <w:basedOn w:val="1"/>
    <w:next w:val="1"/>
    <w:unhideWhenUsed/>
    <w:qFormat/>
    <w:uiPriority w:val="39"/>
    <w:pPr>
      <w:widowControl w:val="0"/>
      <w:ind w:left="2100" w:leftChars="1000"/>
      <w:jc w:val="both"/>
    </w:pPr>
    <w:rPr>
      <w:rFonts w:ascii="Calibri" w:hAnsi="Calibri" w:eastAsia="宋体" w:cs="Times New Roman"/>
      <w:kern w:val="2"/>
      <w:sz w:val="21"/>
      <w:szCs w:val="22"/>
    </w:rPr>
  </w:style>
  <w:style w:type="paragraph" w:styleId="19">
    <w:name w:val="toc 2"/>
    <w:basedOn w:val="1"/>
    <w:next w:val="1"/>
    <w:unhideWhenUsed/>
    <w:qFormat/>
    <w:uiPriority w:val="39"/>
    <w:pPr>
      <w:ind w:left="420" w:leftChars="200"/>
    </w:pPr>
  </w:style>
  <w:style w:type="paragraph" w:styleId="20">
    <w:name w:val="toc 9"/>
    <w:basedOn w:val="1"/>
    <w:next w:val="1"/>
    <w:unhideWhenUsed/>
    <w:qFormat/>
    <w:uiPriority w:val="39"/>
    <w:pPr>
      <w:widowControl w:val="0"/>
      <w:ind w:left="3360" w:leftChars="1600"/>
      <w:jc w:val="both"/>
    </w:pPr>
    <w:rPr>
      <w:rFonts w:ascii="Calibri" w:hAnsi="Calibri" w:eastAsia="宋体" w:cs="Times New Roman"/>
      <w:kern w:val="2"/>
      <w:sz w:val="21"/>
      <w:szCs w:val="22"/>
    </w:rPr>
  </w:style>
  <w:style w:type="paragraph" w:styleId="21">
    <w:name w:val="Normal (Web)"/>
    <w:basedOn w:val="1"/>
    <w:unhideWhenUsed/>
    <w:qFormat/>
    <w:uiPriority w:val="99"/>
    <w:pPr>
      <w:spacing w:before="100" w:beforeLines="0" w:beforeAutospacing="1" w:after="100" w:afterLines="0" w:afterAutospacing="1"/>
    </w:pPr>
  </w:style>
  <w:style w:type="paragraph" w:styleId="22">
    <w:name w:val="Title"/>
    <w:basedOn w:val="1"/>
    <w:next w:val="1"/>
    <w:link w:val="39"/>
    <w:qFormat/>
    <w:uiPriority w:val="10"/>
    <w:pPr>
      <w:spacing w:before="60" w:after="60"/>
      <w:jc w:val="center"/>
      <w:outlineLvl w:val="0"/>
    </w:pPr>
    <w:rPr>
      <w:rFonts w:ascii="Cambria" w:hAnsi="Cambria" w:cs="Times New Roman"/>
      <w:b/>
      <w:bCs/>
      <w:szCs w:val="32"/>
    </w:rPr>
  </w:style>
  <w:style w:type="paragraph" w:styleId="23">
    <w:name w:val="annotation subject"/>
    <w:basedOn w:val="5"/>
    <w:next w:val="5"/>
    <w:link w:val="40"/>
    <w:unhideWhenUsed/>
    <w:qFormat/>
    <w:uiPriority w:val="99"/>
    <w:rPr>
      <w:b/>
      <w:bCs/>
    </w:rPr>
  </w:style>
  <w:style w:type="table" w:styleId="25">
    <w:name w:val="Table Grid"/>
    <w:basedOn w:val="2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unhideWhenUsed/>
    <w:qFormat/>
    <w:uiPriority w:val="99"/>
  </w:style>
  <w:style w:type="character" w:styleId="28">
    <w:name w:val="FollowedHyperlink"/>
    <w:unhideWhenUsed/>
    <w:qFormat/>
    <w:uiPriority w:val="99"/>
    <w:rPr>
      <w:color w:val="800080"/>
      <w:u w:val="single"/>
    </w:rPr>
  </w:style>
  <w:style w:type="character" w:styleId="29">
    <w:name w:val="Hyperlink"/>
    <w:unhideWhenUsed/>
    <w:qFormat/>
    <w:uiPriority w:val="99"/>
    <w:rPr>
      <w:color w:val="0000FF"/>
      <w:u w:val="single"/>
    </w:rPr>
  </w:style>
  <w:style w:type="character" w:styleId="30">
    <w:name w:val="annotation reference"/>
    <w:unhideWhenUsed/>
    <w:qFormat/>
    <w:uiPriority w:val="99"/>
    <w:rPr>
      <w:sz w:val="21"/>
      <w:szCs w:val="21"/>
    </w:rPr>
  </w:style>
  <w:style w:type="character" w:customStyle="1" w:styleId="31">
    <w:name w:val="标题 1 字符"/>
    <w:link w:val="2"/>
    <w:qFormat/>
    <w:uiPriority w:val="9"/>
    <w:rPr>
      <w:rFonts w:ascii="宋体" w:hAnsi="宋体" w:cs="宋体"/>
      <w:b/>
      <w:bCs/>
      <w:kern w:val="44"/>
      <w:sz w:val="44"/>
      <w:szCs w:val="44"/>
    </w:rPr>
  </w:style>
  <w:style w:type="character" w:customStyle="1" w:styleId="32">
    <w:name w:val="文档结构图 字符"/>
    <w:link w:val="4"/>
    <w:semiHidden/>
    <w:qFormat/>
    <w:uiPriority w:val="99"/>
    <w:rPr>
      <w:rFonts w:ascii="宋体" w:hAnsi="宋体" w:cs="宋体"/>
      <w:sz w:val="18"/>
      <w:szCs w:val="18"/>
    </w:rPr>
  </w:style>
  <w:style w:type="character" w:customStyle="1" w:styleId="33">
    <w:name w:val="批注文字 字符"/>
    <w:link w:val="5"/>
    <w:semiHidden/>
    <w:qFormat/>
    <w:uiPriority w:val="99"/>
    <w:rPr>
      <w:rFonts w:ascii="宋体" w:hAnsi="宋体" w:cs="宋体"/>
      <w:sz w:val="24"/>
      <w:szCs w:val="24"/>
    </w:rPr>
  </w:style>
  <w:style w:type="character" w:customStyle="1" w:styleId="34">
    <w:name w:val="日期 字符"/>
    <w:link w:val="11"/>
    <w:semiHidden/>
    <w:qFormat/>
    <w:uiPriority w:val="99"/>
    <w:rPr>
      <w:rFonts w:ascii="宋体" w:hAnsi="宋体" w:cs="宋体"/>
      <w:sz w:val="24"/>
      <w:szCs w:val="24"/>
    </w:rPr>
  </w:style>
  <w:style w:type="character" w:customStyle="1" w:styleId="35">
    <w:name w:val="批注框文本 字符"/>
    <w:link w:val="12"/>
    <w:semiHidden/>
    <w:qFormat/>
    <w:uiPriority w:val="99"/>
    <w:rPr>
      <w:rFonts w:ascii="宋体" w:hAnsi="宋体" w:cs="宋体"/>
      <w:sz w:val="18"/>
      <w:szCs w:val="18"/>
    </w:rPr>
  </w:style>
  <w:style w:type="character" w:customStyle="1" w:styleId="36">
    <w:name w:val="页脚 字符"/>
    <w:link w:val="13"/>
    <w:qFormat/>
    <w:uiPriority w:val="0"/>
    <w:rPr>
      <w:rFonts w:ascii="宋体" w:hAnsi="宋体" w:eastAsia="宋体" w:cs="宋体"/>
      <w:sz w:val="18"/>
      <w:szCs w:val="18"/>
    </w:rPr>
  </w:style>
  <w:style w:type="character" w:customStyle="1" w:styleId="37">
    <w:name w:val="页眉 字符1"/>
    <w:link w:val="14"/>
    <w:semiHidden/>
    <w:qFormat/>
    <w:uiPriority w:val="99"/>
    <w:rPr>
      <w:rFonts w:ascii="宋体" w:hAnsi="宋体" w:eastAsia="宋体" w:cs="宋体"/>
      <w:sz w:val="18"/>
      <w:szCs w:val="18"/>
    </w:rPr>
  </w:style>
  <w:style w:type="character" w:customStyle="1" w:styleId="38">
    <w:name w:val="副标题 字符"/>
    <w:link w:val="17"/>
    <w:qFormat/>
    <w:uiPriority w:val="11"/>
    <w:rPr>
      <w:rFonts w:ascii="Calibri Light" w:hAnsi="Calibri Light" w:cs="Times New Roman"/>
      <w:b/>
      <w:bCs/>
      <w:kern w:val="28"/>
      <w:sz w:val="32"/>
      <w:szCs w:val="32"/>
    </w:rPr>
  </w:style>
  <w:style w:type="character" w:customStyle="1" w:styleId="39">
    <w:name w:val="标题 字符"/>
    <w:link w:val="22"/>
    <w:qFormat/>
    <w:uiPriority w:val="10"/>
    <w:rPr>
      <w:rFonts w:ascii="Cambria" w:hAnsi="Cambria"/>
      <w:b/>
      <w:bCs/>
      <w:sz w:val="24"/>
      <w:szCs w:val="32"/>
    </w:rPr>
  </w:style>
  <w:style w:type="character" w:customStyle="1" w:styleId="40">
    <w:name w:val="批注主题 字符"/>
    <w:link w:val="23"/>
    <w:semiHidden/>
    <w:qFormat/>
    <w:uiPriority w:val="99"/>
    <w:rPr>
      <w:rFonts w:ascii="宋体" w:hAnsi="宋体" w:cs="宋体"/>
      <w:b/>
      <w:bCs/>
      <w:sz w:val="24"/>
      <w:szCs w:val="24"/>
    </w:rPr>
  </w:style>
  <w:style w:type="character" w:customStyle="1" w:styleId="41">
    <w:name w:val="15"/>
    <w:qFormat/>
    <w:uiPriority w:val="0"/>
    <w:rPr>
      <w:rFonts w:hint="default" w:ascii="Times New Roman" w:hAnsi="Times New Roman" w:cs="Times New Roman"/>
      <w:color w:val="464445"/>
      <w:u w:val="none"/>
    </w:rPr>
  </w:style>
  <w:style w:type="paragraph" w:customStyle="1" w:styleId="42">
    <w:name w:val="stitle"/>
    <w:basedOn w:val="1"/>
    <w:qFormat/>
    <w:uiPriority w:val="0"/>
    <w:pPr>
      <w:spacing w:before="100" w:beforeLines="0" w:beforeAutospacing="1" w:after="100" w:afterLines="0" w:afterAutospacing="1"/>
    </w:pPr>
    <w:rPr>
      <w:smallCaps/>
      <w:color w:val="000000"/>
      <w:sz w:val="20"/>
      <w:szCs w:val="20"/>
    </w:rPr>
  </w:style>
  <w:style w:type="paragraph" w:customStyle="1" w:styleId="43">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4">
    <w:name w:val="tiao"/>
    <w:basedOn w:val="1"/>
    <w:qFormat/>
    <w:uiPriority w:val="0"/>
    <w:pPr>
      <w:shd w:val="clear" w:color="auto" w:fill="AFEEEE"/>
      <w:spacing w:before="100" w:beforeLines="0" w:beforeAutospacing="1" w:after="100" w:afterLines="0" w:afterAutospacing="1"/>
    </w:pPr>
    <w:rPr>
      <w:i/>
      <w:iCs/>
      <w:smallCaps/>
      <w:color w:val="6600CC"/>
      <w:sz w:val="20"/>
      <w:szCs w:val="20"/>
    </w:rPr>
  </w:style>
  <w:style w:type="paragraph" w:customStyle="1" w:styleId="45">
    <w:name w:val="content"/>
    <w:basedOn w:val="1"/>
    <w:qFormat/>
    <w:uiPriority w:val="0"/>
    <w:pPr>
      <w:spacing w:before="100" w:beforeLines="0" w:beforeAutospacing="1" w:after="100" w:afterLines="0" w:afterAutospacing="1" w:line="384" w:lineRule="auto"/>
    </w:pPr>
    <w:rPr>
      <w:sz w:val="18"/>
      <w:szCs w:val="18"/>
    </w:rPr>
  </w:style>
  <w:style w:type="paragraph" w:customStyle="1" w:styleId="46">
    <w:name w:val="mtitle"/>
    <w:basedOn w:val="1"/>
    <w:qFormat/>
    <w:uiPriority w:val="0"/>
    <w:pPr>
      <w:spacing w:before="100" w:beforeLines="0" w:beforeAutospacing="1" w:after="100" w:afterLines="0" w:afterAutospacing="1" w:line="336" w:lineRule="auto"/>
    </w:pPr>
    <w:rPr>
      <w:b/>
      <w:bCs/>
      <w:smallCaps/>
      <w:color w:val="000000"/>
      <w:sz w:val="20"/>
      <w:szCs w:val="20"/>
    </w:rPr>
  </w:style>
  <w:style w:type="paragraph" w:customStyle="1" w:styleId="47">
    <w:name w:val="mnotes"/>
    <w:basedOn w:val="1"/>
    <w:qFormat/>
    <w:uiPriority w:val="0"/>
    <w:pPr>
      <w:shd w:val="clear" w:color="auto" w:fill="AFEEEE"/>
      <w:spacing w:before="100" w:beforeLines="0" w:beforeAutospacing="1" w:after="100" w:afterLines="0" w:afterAutospacing="1" w:line="336" w:lineRule="auto"/>
    </w:pPr>
    <w:rPr>
      <w:smallCaps/>
      <w:color w:val="008080"/>
      <w:sz w:val="20"/>
      <w:szCs w:val="20"/>
    </w:rPr>
  </w:style>
  <w:style w:type="paragraph" w:customStyle="1" w:styleId="48">
    <w:name w:val="p17"/>
    <w:basedOn w:val="1"/>
    <w:qFormat/>
    <w:uiPriority w:val="0"/>
    <w:pPr>
      <w:jc w:val="both"/>
    </w:pPr>
    <w:rPr>
      <w:rFonts w:ascii="Times New Roman" w:hAnsi="Times New Roman" w:cs="Times New Roman"/>
      <w:sz w:val="21"/>
      <w:szCs w:val="21"/>
    </w:rPr>
  </w:style>
  <w:style w:type="paragraph" w:customStyle="1" w:styleId="49">
    <w:name w:val="tiaonoa"/>
    <w:basedOn w:val="1"/>
    <w:qFormat/>
    <w:uiPriority w:val="0"/>
    <w:pPr>
      <w:spacing w:before="100" w:beforeLines="0" w:beforeAutospacing="1" w:after="100" w:afterLines="0" w:afterAutospacing="1"/>
    </w:pPr>
    <w:rPr>
      <w:b/>
      <w:bCs/>
      <w:smallCaps/>
      <w:color w:val="000000"/>
      <w:sz w:val="18"/>
      <w:szCs w:val="18"/>
    </w:rPr>
  </w:style>
  <w:style w:type="paragraph" w:customStyle="1" w:styleId="50">
    <w:name w:val="p0"/>
    <w:basedOn w:val="1"/>
    <w:qFormat/>
    <w:uiPriority w:val="0"/>
    <w:pPr>
      <w:jc w:val="both"/>
    </w:pPr>
    <w:rPr>
      <w:rFonts w:ascii="Times New Roman" w:hAnsi="Times New Roman" w:cs="Times New Roman"/>
      <w:sz w:val="21"/>
      <w:szCs w:val="21"/>
    </w:rPr>
  </w:style>
  <w:style w:type="paragraph" w:customStyle="1" w:styleId="51">
    <w:name w:val="tiaoyin"/>
    <w:basedOn w:val="1"/>
    <w:qFormat/>
    <w:uiPriority w:val="0"/>
    <w:pPr>
      <w:spacing w:before="100" w:beforeLines="0" w:beforeAutospacing="1" w:after="100" w:afterLines="0" w:afterAutospacing="1"/>
    </w:pPr>
    <w:rPr>
      <w:smallCaps/>
      <w:color w:val="FF0000"/>
      <w:sz w:val="20"/>
      <w:szCs w:val="20"/>
    </w:rPr>
  </w:style>
  <w:style w:type="paragraph" w:customStyle="1" w:styleId="52">
    <w:name w:val="_Style 49"/>
    <w:basedOn w:val="2"/>
    <w:next w:val="1"/>
    <w:qFormat/>
    <w:uiPriority w:val="0"/>
    <w:pPr>
      <w:widowControl w:val="0"/>
      <w:spacing w:line="576" w:lineRule="auto"/>
      <w:jc w:val="both"/>
      <w:outlineLvl w:val="9"/>
    </w:pPr>
    <w:rPr>
      <w:rFonts w:ascii="Calibri" w:hAnsi="Calibri" w:cs="Times New Roman"/>
    </w:rPr>
  </w:style>
  <w:style w:type="character" w:customStyle="1" w:styleId="53">
    <w:name w:val="页眉 字符"/>
    <w:qFormat/>
    <w:uiPriority w:val="99"/>
  </w:style>
  <w:style w:type="paragraph" w:customStyle="1" w:styleId="54">
    <w:name w:val="Table Text"/>
    <w:autoRedefine/>
    <w:semiHidden/>
    <w:qFormat/>
    <w:uiPriority w:val="0"/>
    <w:pPr>
      <w:widowControl w:val="0"/>
      <w:jc w:val="both"/>
    </w:pPr>
    <w:rPr>
      <w:rFonts w:ascii="宋体" w:hAnsi="宋体" w:eastAsia="宋体" w:cs="宋体"/>
      <w:kern w:val="2"/>
      <w:sz w:val="21"/>
      <w:szCs w:val="21"/>
      <w:lang w:val="en-US" w:eastAsia="en-US" w:bidi="ar-SA"/>
    </w:rPr>
  </w:style>
  <w:style w:type="table" w:customStyle="1" w:styleId="55">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a527fee8-a9cc-49dd-a944-c7b3a67a8da6</errorID>
      <errorWord>中华人民共和国杭州海关</errorWord>
      <group>L1_Other</group>
      <groupName>其他问题</groupName>
      <ability>L2_Consistency</ability>
      <abilityName>一致性检查</abilityName>
      <candidateList>
        <item>杭州海关</item>
      </candidateList>
      <explain>实体一致性问题，文档中对建设单位名称表述，前面用全称“中华人民共和国杭州海关”，后面多简称为“杭州海关”，为保持一致，后续统一使用简称“杭州海关”</explain>
      <paraID>5A431C5F</paraID>
      <start>7</start>
      <end>18</end>
      <status>unmodified</status>
      <modifiedWord/>
      <trackRevisions>false</trackRevisions>
    </reviewItem>
    <reviewItem>
      <errorID>a056d04a-e764-4ace-bc10-c6865b7d6194</errorID>
      <errorWord>《浙江省建设工程工程计价规则》</errorWord>
      <group>L1_Other</group>
      <groupName>其他问题</groupName>
      <ability>L2_Consistency</ability>
      <abilityName>一致性检查</abilityName>
      <candidateList>
        <item>《浙江省建设工程量清单计价指引》</item>
      </candidateList>
      <explain>术语一致性问题，文档中对于浙江省建设工程相关计价规则类术语表述不一致，为统一表述，应采用出现过的《浙江省建设工程量清单计价指引》</explain>
      <paraID> 6700E0A</paraID>
      <start>2</start>
      <end>17</end>
      <status>unmodified</status>
      <modifiedWord/>
      <trackRevisions>false</trackRevisions>
    </reviewItem>
    <reviewItem>
      <errorID>a6a46fe0-6524-499d-b206-155787d1bcee</errorID>
      <errorWord>(</errorWord>
      <group>L1_Format</group>
      <groupName>格式问题</groupName>
      <ability>L2_HalfPunc_CN</ability>
      <abilityName>全半角问题</abilityName>
      <candidateList>
        <item>（</item>
      </candidateList>
      <explain>文本全半角错误。</explain>
      <paraID>6CE806F7</paraID>
      <start>70</start>
      <end>71</end>
      <status>modified</status>
      <modifiedWord>（</modifiedWord>
      <trackRevisions>false</trackRevisions>
    </reviewItem>
    <reviewItem>
      <errorID>b7665ec1-7482-4dcb-a928-121e8a581033</errorID>
      <errorWord>)</errorWord>
      <group>L1_Format</group>
      <groupName>格式问题</groupName>
      <ability>L2_HalfPunc_CN</ability>
      <abilityName>全半角问题</abilityName>
      <candidateList>
        <item>）</item>
      </candidateList>
      <explain>文本全半角错误。</explain>
      <paraID>6CE806F7</paraID>
      <start>76</start>
      <end>77</end>
      <status>modified</status>
      <modifiedWord>）</modifiedWord>
      <trackRevisions>false</trackRevisions>
    </reviewItem>
    <reviewItem>
      <errorID>87be53cb-0ead-43bc-a21d-e1eb4725e11f</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3225F8CA</paraID>
      <start>6</start>
      <end>9</end>
      <status>unmodified</status>
      <modifiedWord/>
      <trackRevisions>false</trackRevisions>
    </reviewItem>
    <reviewItem>
      <errorID>31419e7a-a20a-4247-9a15-5c74deadfa28</errorID>
      <errorWord> </errorWord>
      <group>L1_Punc</group>
      <groupName>标点问题</groupName>
      <ability>L2_Punc_CN</ability>
      <abilityName>标点符号问题</abilityName>
      <candidateList>
        <item>. </item>
      </candidateList>
      <explain/>
      <paraID> 9CA37DC</paraID>
      <start>2</start>
      <end>3</end>
      <status>unmodified</status>
      <modifiedWord/>
      <trackRevisions>false</trackRevisions>
    </reviewItem>
    <reviewItem>
      <errorID>d9199eb1-3568-4307-98ea-278c8278c32f</errorID>
      <errorWord>了解掌握</errorWord>
      <group>L1_Grammar</group>
      <groupName>语法问题</groupName>
      <ability>L2_Grammar</ability>
      <abilityName>语法错误</abilityName>
      <candidateList>
        <item>了解</item>
      </candidateList>
      <explain/>
      <paraID>48799155</paraID>
      <start>16</start>
      <end>20</end>
      <status>unmodified</status>
      <modifiedWord/>
      <trackRevisions>false</trackRevisions>
    </reviewItem>
    <reviewItem>
      <errorID>5c81c8c9-6a06-4b1e-8f84-dee601af7870</errorID>
      <errorWord>保护防护</errorWord>
      <group>L1_Grammar</group>
      <groupName>语法问题</groupName>
      <ability>L2_Grammar</ability>
      <abilityName>语法错误</abilityName>
      <candidateList>
        <item>保护</item>
      </candidateList>
      <explain/>
      <paraID>48799155</paraID>
      <start>52</start>
      <end>56</end>
      <status>unmodified</status>
      <modifiedWord/>
      <trackRevisions>false</trackRevisions>
    </reviewItem>
    <reviewItem>
      <errorID>409f4264-9896-4b72-b595-aaea2552e699</errorID>
      <errorWord>位置、情况</errorWord>
      <group>L1_Grammar</group>
      <groupName>语法问题</groupName>
      <ability>L2_Grammar</ability>
      <abilityName>语法错误</abilityName>
      <candidateList>
        <item>位置</item>
      </candidateList>
      <explain/>
      <paraID>48799155</paraID>
      <start>73</start>
      <end>78</end>
      <status>unmodified</status>
      <modifiedWord/>
      <trackRevisions>false</trackRevisions>
    </reviewItem>
    <reviewItem>
      <errorID>863d4958-fbc8-41b9-a955-5aca83e4eaa7</errorID>
      <errorWord>在</errorWord>
      <group>L1_Grammar</group>
      <groupName>语法问题</groupName>
      <ability>L2_Grammar</ability>
      <abilityName>语法错误</abilityName>
      <candidateList>
        <item>后列入</item>
      </candidateList>
      <explain/>
      <paraID>712978EB</paraID>
      <start>26</start>
      <end>27</end>
      <status>unmodified</status>
      <modifiedWord/>
      <trackRevisions>false</trackRevisions>
    </reviewItem>
    <reviewItem>
      <errorID>836b2550-c6fd-4397-8971-e5955247571b</errorID>
      <errorWord>参</errorWord>
      <group>L1_Word</group>
      <groupName>字词问题</groupName>
      <ability>L2_Typo</ability>
      <abilityName>字词错误</abilityName>
      <candidateList>
        <item>参照</item>
      </candidateList>
      <explain/>
      <paraID>7C1F9513</paraID>
      <start>30</start>
      <end>31</end>
      <status>unmodified</status>
      <modifiedWord/>
      <trackRevisions>false</trackRevisions>
    </reviewItem>
    <reviewItem>
      <errorID>eeba5103-006b-4748-b905-d5e26d091ac6</errorID>
      <errorWord>报价</errorWord>
      <group>L1_Word</group>
      <groupName>字词问题</groupName>
      <ability>L2_Typo</ability>
      <abilityName>字词错误</abilityName>
      <candidateList>
        <item>应</item>
      </candidateList>
      <explain/>
      <paraID>7C1F9513</paraID>
      <start>50</start>
      <end>52</end>
      <status>unmodified</status>
      <modifiedWord/>
      <trackRevisions>false</trackRevisions>
    </reviewItem>
    <reviewItem>
      <errorID>d57c3830-34a5-49ce-9187-df69674e3464</errorID>
      <errorWord>，</errorWord>
      <group>L1_Word</group>
      <groupName>字词问题</groupName>
      <ability>L2_Typo</ability>
      <abilityName>字词错误</abilityName>
      <candidateList>
        <item>后</item>
      </candidateList>
      <explain/>
      <paraID>7C1F9513</paraID>
      <start>56</start>
      <end>57</end>
      <status>unmodified</status>
      <modifiedWord/>
      <trackRevisions>false</trackRevisions>
    </reviewItem>
    <reviewItem>
      <errorID>e6d91e36-7413-4599-80a6-d6fbabfd9e8d</errorID>
      <errorWord>现场</errorWord>
      <group>L1_Grammar</group>
      <groupName>语法问题</groupName>
      <ability>L2_Grammar</ability>
      <abilityName>语法错误</abilityName>
      <candidateList>
        <item>进行现场</item>
      </candidateList>
      <explain/>
      <paraID>5F7934A6</paraID>
      <start>14</start>
      <end>16</end>
      <status>unmodified</status>
      <modifiedWord/>
      <trackRevisions>false</trackRevisions>
    </reviewItem>
    <reviewItem>
      <errorID>87cfcab1-52a5-411e-b319-06719120383f</errorID>
      <errorWord>并</errorWord>
      <group>L1_Word</group>
      <groupName>字词问题</groupName>
      <ability>L2_Typo</ability>
      <abilityName>字词错误</abilityName>
      <candidateList>
        <item>，</item>
      </candidateList>
      <explain/>
      <paraID>5F7934A6</paraID>
      <start>18</start>
      <end>19</end>
      <status>unmodified</status>
      <modifiedWord/>
      <trackRevisions>false</trackRevisions>
    </reviewItem>
    <reviewItem>
      <errorID>239b306c-b7c5-4445-9a36-60a33d02ec76</errorID>
      <errorWord>、</errorWord>
      <group>L1_Punc</group>
      <groupName>标点问题</groupName>
      <ability>L2_Punc_CN</ability>
      <abilityName>标点符号问题</abilityName>
      <candidateList>
        <item/>
      </candidateList>
      <explain/>
      <paraID>5F7934A6</paraID>
      <start>28</start>
      <end>29</end>
      <status>unmodified</status>
      <modifiedWord/>
      <trackRevisions>false</trackRevisions>
    </reviewItem>
    <reviewItem>
      <errorID>a5453c38-c510-46df-96fc-944b88259acd</errorID>
      <errorWord>对</errorWord>
      <group>L1_Grammar</group>
      <groupName>语法问题</groupName>
      <ability>L2_Grammar</ability>
      <abilityName>语法错误</abilityName>
      <candidateList>
        <item>以及对</item>
      </candidateList>
      <explain/>
      <paraID>4BC19F69</paraID>
      <start>11</start>
      <end>12</end>
      <status>unmodified</status>
      <modifiedWord/>
      <trackRevisions>false</trackRevisions>
    </reviewItem>
    <reviewItem>
      <errorID>06192ba5-6b50-4155-b1b2-6881c564636b</errorID>
      <errorWord>其它</errorWord>
      <group>L1_Word</group>
      <groupName>字词问题</groupName>
      <ability>L2_Typo</ability>
      <abilityName>字词错误</abilityName>
      <candidateList>
        <item>其他</item>
      </candidateList>
      <explain/>
      <paraID>15ECDE15</paraID>
      <start>14</start>
      <end>16</end>
      <status>unmodified</status>
      <modifiedWord/>
      <trackRevisions>false</trackRevisions>
    </reviewItem>
    <reviewItem>
      <errorID>52cac515-e7a8-4398-9f7c-a00169e712eb</errorID>
      <errorWord>作</errorWord>
      <group>L1_Word</group>
      <groupName>字词问题</groupName>
      <ability>L2_Typo</ability>
      <abilityName>字词错误</abilityName>
      <candidateList>
        <item>做</item>
      </candidateList>
      <explain>存在发音相同字词的误用。</explain>
      <paraID>15ECDE15</paraID>
      <start>56</start>
      <end>57</end>
      <status>unmodified</status>
      <modifiedWord/>
      <trackRevisions>false</trackRevisions>
    </reviewItem>
    <reviewItem>
      <errorID>1ee20c5e-cd2e-4978-9a4b-6f73afd6f6b5</errorID>
      <errorWord>，</errorWord>
      <group>L1_Punc</group>
      <groupName>标点问题</groupName>
      <ability>L2_Punc_CN</ability>
      <abilityName>标点符号问题</abilityName>
      <candidateList>
        <item/>
      </candidateList>
      <explain/>
      <paraID>1911DA50</paraID>
      <start>28</start>
      <end>29</end>
      <status>unmodified</status>
      <modifiedWord/>
      <trackRevisions>false</trackRevisions>
    </reviewItem>
    <reviewItem>
      <errorID>a3e39327-2946-470f-8ae4-898a035a3525</errorID>
      <errorWord>计入</errorWord>
      <group>L1_Word</group>
      <groupName>字词问题</groupName>
      <ability>L2_Typo</ability>
      <abilityName>字词错误</abilityName>
      <candidateList>
        <item>并计入</item>
      </candidateList>
      <explain/>
      <paraID>1911DA50</paraID>
      <start>56</start>
      <end>58</end>
      <status>unmodified</status>
      <modifiedWord/>
      <trackRevisions>false</trackRevisions>
    </reviewItem>
    <reviewItem>
      <errorID>aa0859a0-7bb7-4397-82a9-117a3e7b7cff</errorID>
      <errorWord>报价</errorWord>
      <group>L1_Word</group>
      <groupName>字词问题</groupName>
      <ability>L2_Typo</ability>
      <abilityName>字词错误</abilityName>
      <candidateList>
        <item>后报价</item>
      </candidateList>
      <explain/>
      <paraID>348E6B59</paraID>
      <start>49</start>
      <end>51</end>
      <status>unmodified</status>
      <modifiedWord/>
      <trackRevisions>false</trackRevisions>
    </reviewItem>
    <reviewItem>
      <errorID>20e3ed14-556a-4c6b-b8c6-0f903b1a7e8a</errorID>
      <errorWord>报价综合</errorWord>
      <group>L1_Grammar</group>
      <groupName>语法问题</groupName>
      <ability>L2_Grammar</ability>
      <abilityName>语法错误</abilityName>
      <candidateList>
        <item>并在报价中综合</item>
      </candidateList>
      <explain/>
      <paraID>2C2219EC</paraID>
      <start>89</start>
      <end>93</end>
      <status>unmodified</status>
      <modifiedWord/>
      <trackRevisions>false</trackRevisions>
    </reviewItem>
    <reviewItem>
      <errorID>7a54923e-1fb6-47c3-a6a0-699f2afd8e6c</errorID>
      <errorWord>,</errorWord>
      <group>L1_Punc</group>
      <groupName>标点问题</groupName>
      <ability>L2_Punc_CN</ability>
      <abilityName>标点符号问题</abilityName>
      <candidateList>
        <item>，</item>
      </candidateList>
      <explain/>
      <paraID> 61C6514</paraID>
      <start>28</start>
      <end>29</end>
      <status>unmodified</status>
      <modifiedWord/>
      <trackRevisions>false</trackRevisions>
    </reviewItem>
    <reviewItem>
      <errorID>5b99bc0f-8d80-447f-a805-e96f17b30bed</errorID>
      <errorWord>(</errorWord>
      <group>L1_Format</group>
      <groupName>格式问题</groupName>
      <ability>L2_HalfPunc_CN</ability>
      <abilityName>全半角问题</abilityName>
      <candidateList>
        <item>（</item>
      </candidateList>
      <explain>文本全半角错误。</explain>
      <paraID>1AF9D2FF</paraID>
      <start>57</start>
      <end>58</end>
      <status>modified</status>
      <modifiedWord>（</modifiedWord>
      <trackRevisions>false</trackRevisions>
    </reviewItem>
    <reviewItem>
      <errorID>606003f0-549a-415c-ad28-f317b7d569ce</errorID>
      <errorWord>)</errorWord>
      <group>L1_Format</group>
      <groupName>格式问题</groupName>
      <ability>L2_HalfPunc_CN</ability>
      <abilityName>全半角问题</abilityName>
      <candidateList>
        <item>）</item>
      </candidateList>
      <explain>文本全半角错误。</explain>
      <paraID>1AF9D2FF</paraID>
      <start>63</start>
      <end>64</end>
      <status>modified</status>
      <modifiedWord>）</modifiedWord>
      <trackRevisions>false</trackRevisions>
    </reviewItem>
    <reviewItem>
      <errorID>94588234-feac-46ab-b8aa-e81dd56a544f</errorID>
      <errorWord>(</errorWord>
      <group>L1_Format</group>
      <groupName>格式问题</groupName>
      <ability>L2_HalfPunc_CN</ability>
      <abilityName>全半角问题</abilityName>
      <candidateList>
        <item>（</item>
      </candidateList>
      <explain>文本全半角错误。</explain>
      <paraID>1AF9D2FF</paraID>
      <start>77</start>
      <end>78</end>
      <status>modified</status>
      <modifiedWord>（</modifiedWord>
      <trackRevisions>false</trackRevisions>
    </reviewItem>
    <reviewItem>
      <errorID>c26800ce-5179-4e6e-9f77-8489f97a80f7</errorID>
      <errorWord>)</errorWord>
      <group>L1_Format</group>
      <groupName>格式问题</groupName>
      <ability>L2_HalfPunc_CN</ability>
      <abilityName>全半角问题</abilityName>
      <candidateList>
        <item>）</item>
      </candidateList>
      <explain>文本全半角错误。</explain>
      <paraID>1AF9D2FF</paraID>
      <start>88</start>
      <end>89</end>
      <status>modified</status>
      <modifiedWord>）</modifiedWord>
      <trackRevisions>false</trackRevisions>
    </reviewItem>
    <reviewItem>
      <errorID>c5d8edc9-2833-4db9-b33d-18f7d5e268df</errorID>
      <errorWord>(</errorWord>
      <group>L1_Format</group>
      <groupName>格式问题</groupName>
      <ability>L2_HalfPunc_CN</ability>
      <abilityName>全半角问题</abilityName>
      <candidateList>
        <item>（</item>
      </candidateList>
      <explain>文本全半角错误。</explain>
      <paraID>45259208</paraID>
      <start>22</start>
      <end>23</end>
      <status>modified</status>
      <modifiedWord>（</modifiedWord>
      <trackRevisions>false</trackRevisions>
    </reviewItem>
    <reviewItem>
      <errorID>490449d6-0771-4497-b41b-0d29666f793e</errorID>
      <errorWord>)</errorWord>
      <group>L1_Format</group>
      <groupName>格式问题</groupName>
      <ability>L2_HalfPunc_CN</ability>
      <abilityName>全半角问题</abilityName>
      <candidateList>
        <item>）</item>
      </candidateList>
      <explain>文本全半角错误。</explain>
      <paraID>45259208</paraID>
      <start>26</start>
      <end>27</end>
      <status>modified</status>
      <modifiedWord>）</modifiedWord>
      <trackRevisions>false</trackRevisions>
    </reviewItem>
    <reviewItem>
      <errorID>6ad3c56b-375b-46d1-9d87-7910dabf9e82</errorID>
      <errorWord>2</errorWord>
      <group>L1_Punc</group>
      <groupName>标点问题</groupName>
      <ability>L2_Punc_CN</ability>
      <abilityName>标点符号问题</abilityName>
      <candidateList>
        <item>；2</item>
      </candidateList>
      <explain/>
      <paraID>45259208</paraID>
      <start>31</start>
      <end>33</end>
      <status>modified</status>
      <modifiedWord>；2</modifiedWord>
      <trackRevisions>false</trackRevisions>
    </reviewItem>
    <reviewItem>
      <errorID>ebc5a28e-a97b-4fe1-953d-556b364e9eea</errorID>
      <errorWord>(</errorWord>
      <group>L1_Format</group>
      <groupName>格式问题</groupName>
      <ability>L2_HalfPunc_CN</ability>
      <abilityName>全半角问题</abilityName>
      <candidateList>
        <item>（</item>
      </candidateList>
      <explain>文本全半角错误。</explain>
      <paraID>45259208</paraID>
      <start>35</start>
      <end>36</end>
      <status>modified</status>
      <modifiedWord>（</modifiedWord>
      <trackRevisions>false</trackRevisions>
    </reviewItem>
    <reviewItem>
      <errorID>54a830e8-4d58-46e9-b012-b2d270ca1e52</errorID>
      <errorWord>)</errorWord>
      <group>L1_Format</group>
      <groupName>格式问题</groupName>
      <ability>L2_HalfPunc_CN</ability>
      <abilityName>全半角问题</abilityName>
      <candidateList>
        <item>）</item>
      </candidateList>
      <explain>文本全半角错误。</explain>
      <paraID>45259208</paraID>
      <start>39</start>
      <end>40</end>
      <status>modified</status>
      <modifiedWord>）</modifiedWord>
      <trackRevisions>false</trackRevisions>
    </reviewItem>
    <reviewItem>
      <errorID>a8334e9d-8ed6-443f-a93a-df566f5721bc</errorID>
      <errorWord>(</errorWord>
      <group>L1_Format</group>
      <groupName>格式问题</groupName>
      <ability>L2_HalfPunc_CN</ability>
      <abilityName>全半角问题</abilityName>
      <candidateList>
        <item>（</item>
      </candidateList>
      <explain>文本全半角错误。</explain>
      <paraID>45259208</paraID>
      <start>66</start>
      <end>67</end>
      <status>modified</status>
      <modifiedWord>（</modifiedWord>
      <trackRevisions>false</trackRevisions>
    </reviewItem>
    <reviewItem>
      <errorID>36308472-4b33-4be5-92bc-b6077226d7d6</errorID>
      <errorWord>)</errorWord>
      <group>L1_Format</group>
      <groupName>格式问题</groupName>
      <ability>L2_HalfPunc_CN</ability>
      <abilityName>全半角问题</abilityName>
      <candidateList>
        <item>）</item>
      </candidateList>
      <explain>文本全半角错误。</explain>
      <paraID>45259208</paraID>
      <start>71</start>
      <end>72</end>
      <status>modified</status>
      <modifiedWord>）</modifiedWord>
      <trackRevisions>false</trackRevisions>
    </reviewItem>
    <reviewItem>
      <errorID>69430deb-3ea8-4a12-a151-81d0ad60e076</errorID>
      <errorWord>横</errorWord>
      <group>L1_Punc</group>
      <groupName>标点问题</groupName>
      <ability>L2_Punc_CN</ability>
      <abilityName>标点符号问题</abilityName>
      <candidateList>
        <item>，横</item>
      </candidateList>
      <explain/>
      <paraID>45259208</paraID>
      <start>74</start>
      <end>75</end>
      <status>unmodified</status>
      <modifiedWord/>
      <trackRevisions>false</trackRevisions>
    </reviewItem>
    <reviewItem>
      <errorID>96890c2b-e3b0-4c69-bf87-266ed857b460</errorID>
      <errorWord>(</errorWord>
      <group>L1_Format</group>
      <groupName>格式问题</groupName>
      <ability>L2_HalfPunc_CN</ability>
      <abilityName>全半角问题</abilityName>
      <candidateList>
        <item>（</item>
      </candidateList>
      <explain>文本全半角错误。</explain>
      <paraID>45259208</paraID>
      <start>82</start>
      <end>83</end>
      <status>modified</status>
      <modifiedWord>（</modifiedWord>
      <trackRevisions>false</trackRevisions>
    </reviewItem>
    <reviewItem>
      <errorID>e7056fc4-d1f8-491f-9101-043ef423713b</errorID>
      <errorWord>)</errorWord>
      <group>L1_Format</group>
      <groupName>格式问题</groupName>
      <ability>L2_HalfPunc_CN</ability>
      <abilityName>全半角问题</abilityName>
      <candidateList>
        <item>）</item>
      </candidateList>
      <explain>文本全半角错误。</explain>
      <paraID>45259208</paraID>
      <start>96</start>
      <end>97</end>
      <status>modified</status>
      <modifiedWord>）</modifiedWord>
      <trackRevisions>false</trackRevisions>
    </reviewItem>
    <reviewItem>
      <errorID>b1f18aae-2bec-4516-8861-3e325b2148da</errorID>
      <errorWord>(</errorWord>
      <group>L1_Format</group>
      <groupName>格式问题</groupName>
      <ability>L2_HalfPunc_CN</ability>
      <abilityName>全半角问题</abilityName>
      <candidateList>
        <item>（</item>
      </candidateList>
      <explain>文本全半角错误。</explain>
      <paraID>7A7E462A</paraID>
      <start>47</start>
      <end>48</end>
      <status>modified</status>
      <modifiedWord>（</modifiedWord>
      <trackRevisions>false</trackRevisions>
    </reviewItem>
    <reviewItem>
      <errorID>9d553a1c-3c83-4c8a-b0bf-28cfe944b83b</errorID>
      <errorWord>)</errorWord>
      <group>L1_Format</group>
      <groupName>格式问题</groupName>
      <ability>L2_HalfPunc_CN</ability>
      <abilityName>全半角问题</abilityName>
      <candidateList>
        <item>）</item>
      </candidateList>
      <explain>文本全半角错误。</explain>
      <paraID>7A7E462A</paraID>
      <start>57</start>
      <end>58</end>
      <status>modified</status>
      <modifiedWord>）</modifiedWord>
      <trackRevisions>false</trackRevisions>
    </reviewItem>
    <reviewItem>
      <errorID>f9d4b979-9d60-4f54-8c3b-006280e600e7</errorID>
      <errorWord>胶粘剂</errorWord>
      <group>L1_Word</group>
      <groupName>字词问题</groupName>
      <ability>L2_Typo</ability>
      <abilityName>字词错误</abilityName>
      <candidateList>
        <item>胶黏剂</item>
      </candidateList>
      <explain/>
      <paraID>7A7E462A</paraID>
      <start>77</start>
      <end>80</end>
      <status>unmodified</status>
      <modifiedWord/>
      <trackRevisions>false</trackRevisions>
    </reviewItem>
    <reviewItem>
      <errorID>32af73b6-92cf-419d-a324-9f7e6fbe2eed</errorID>
      <errorWord>粘结</errorWord>
      <group>L1_Word</group>
      <groupName>字词问题</groupName>
      <ability>L2_Typo</ability>
      <abilityName>字词错误</abilityName>
      <candidateList>
        <item>黏结</item>
      </candidateList>
      <explain>存在发音相同字词的误用。</explain>
      <paraID>7A7E462A</paraID>
      <start>80</start>
      <end>82</end>
      <status>unmodified</status>
      <modifiedWord/>
      <trackRevisions>false</trackRevisions>
    </reviewItem>
    <reviewItem>
      <errorID>c3ed6bc2-a9d5-492a-8c98-e050e1165b85</errorID>
      <errorWord>马可波罗</errorWord>
      <group>L1_Word</group>
      <groupName>字词问题</groupName>
      <ability>L2_Typo</ability>
      <abilityName>字词错误</abilityName>
      <candidateList>
        <item>马可·波罗</item>
      </candidateList>
      <explain/>
      <paraID>55133777</paraID>
      <start>3</start>
      <end>7</end>
      <status>unmodified</status>
      <modifiedWord/>
      <trackRevisions>false</trackRevisions>
    </reviewItem>
    <reviewItem>
      <errorID>5e9e7cb6-f459-43b4-bbf2-bc2aeb24e67e</errorID>
      <errorWord>书面材料</errorWord>
      <group>L1_Word</group>
      <groupName>字词问题</groupName>
      <ability>L2_Typo</ability>
      <abilityName>字词错误</abilityName>
      <candidateList>
        <item>以书面形式</item>
      </candidateList>
      <explain/>
      <paraID>5405D9FC</paraID>
      <start>146</start>
      <end>150</end>
      <status>unmodified</status>
      <modifiedWord/>
      <trackRevisions>false</trackRevisions>
    </reviewItem>
    <reviewItem>
      <errorID>0fe56246-40ed-4747-bc59-93d2ab6f2bc1</errorID>
      <errorWord>）</errorWord>
      <group>L1_Grammar</group>
      <groupName>语法问题</groupName>
      <ability>L2_Grammar</ability>
      <abilityName>语法错误</abilityName>
      <candidateList>
        <item>的厂家）</item>
      </candidateList>
      <explain/>
      <paraID>3C754EA9</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cc6081-b15c-4ef5-b4fd-d50008ef799c}">
  <ds:schemaRefs/>
</ds:datastoreItem>
</file>

<file path=docProps/app.xml><?xml version="1.0" encoding="utf-8"?>
<Properties xmlns="http://schemas.openxmlformats.org/officeDocument/2006/extended-properties" xmlns:vt="http://schemas.openxmlformats.org/officeDocument/2006/docPropsVTypes">
  <Template>Normal</Template>
  <Pages>4</Pages>
  <Words>2981</Words>
  <Characters>3081</Characters>
  <Lines>17</Lines>
  <Paragraphs>4</Paragraphs>
  <TotalTime>1</TotalTime>
  <ScaleCrop>false</ScaleCrop>
  <LinksUpToDate>false</LinksUpToDate>
  <CharactersWithSpaces>3176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2023-10-12T06:48:00Z</dcterms:created>
  <dc:creator>hp</dc:creator>
  <cp:lastModifiedBy>飞翔的四脚鱼</cp:lastModifiedBy>
  <cp:lastPrinted>2025-06-19T03:24:00Z</cp:lastPrinted>
  <dcterms:modified xsi:type="dcterms:W3CDTF">2026-09-01T02:13:37Z</dcterms:modified>
  <dc:title>建设部、国家工商行政管理总局关于印发《建设工程造价咨询合同(示范文本)》的通知--北大法宝--北大法律信息网</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AB3DD71D44B24B649C51EBBF3EE81E58_13</vt:lpwstr>
  </property>
  <property fmtid="{D5CDD505-2E9C-101B-9397-08002B2CF9AE}" pid="4" name="KSOTemplateDocerSaveRecord">
    <vt:lpwstr>eyJoZGlkIjoiZjk1ZTZjYTZlNGYwNDUyNjczYTI4ODRiMjQ0MjIyM2YiLCJ1c2VySWQiOiIyMzMwNzgyNTAifQ==</vt:lpwstr>
  </property>
</Properties>
</file>