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D2915">
      <w:pPr>
        <w:pStyle w:val="4"/>
        <w:spacing w:line="360" w:lineRule="auto"/>
        <w:ind w:firstLine="0" w:firstLineChars="0"/>
        <w:jc w:val="center"/>
        <w:rPr>
          <w:rFonts w:hint="eastAsia" w:ascii="宋体" w:hAnsi="宋体"/>
          <w:b/>
          <w:snapToGrid w:val="0"/>
          <w:kern w:val="0"/>
          <w:sz w:val="32"/>
          <w:szCs w:val="32"/>
        </w:rPr>
      </w:pPr>
      <w:r>
        <w:rPr>
          <w:rFonts w:hint="eastAsia" w:ascii="宋体" w:hAnsi="宋体"/>
          <w:b/>
          <w:snapToGrid w:val="0"/>
          <w:kern w:val="0"/>
          <w:sz w:val="32"/>
          <w:szCs w:val="32"/>
          <w:lang w:val="en-US" w:eastAsia="zh-CN"/>
        </w:rPr>
        <w:t>富春江</w:t>
      </w:r>
      <w:r>
        <w:rPr>
          <w:rFonts w:hint="eastAsia" w:ascii="宋体" w:hAnsi="宋体"/>
          <w:b/>
          <w:snapToGrid w:val="0"/>
          <w:kern w:val="0"/>
          <w:sz w:val="32"/>
          <w:szCs w:val="32"/>
        </w:rPr>
        <w:t>镇红旗畈产业园10KV宅前开关站土建工程</w:t>
      </w:r>
    </w:p>
    <w:p w14:paraId="529D0CDD">
      <w:pPr>
        <w:pStyle w:val="4"/>
        <w:spacing w:line="360" w:lineRule="auto"/>
        <w:ind w:firstLine="0" w:firstLineChars="0"/>
        <w:jc w:val="center"/>
        <w:rPr>
          <w:rFonts w:ascii="宋体" w:hAnsi="宋体"/>
          <w:b/>
          <w:snapToGrid w:val="0"/>
          <w:kern w:val="0"/>
          <w:sz w:val="32"/>
          <w:szCs w:val="32"/>
        </w:rPr>
      </w:pPr>
      <w:r>
        <w:rPr>
          <w:rFonts w:hint="eastAsia" w:ascii="宋体" w:hAnsi="宋体"/>
          <w:b/>
          <w:snapToGrid w:val="0"/>
          <w:kern w:val="0"/>
          <w:sz w:val="32"/>
          <w:szCs w:val="32"/>
        </w:rPr>
        <w:t>预算价编制说明</w:t>
      </w:r>
    </w:p>
    <w:p w14:paraId="38D4EE6B">
      <w:pPr>
        <w:pStyle w:val="4"/>
        <w:spacing w:line="360" w:lineRule="auto"/>
        <w:ind w:firstLine="643"/>
        <w:jc w:val="center"/>
        <w:rPr>
          <w:rFonts w:ascii="宋体" w:hAnsi="宋体"/>
          <w:b/>
          <w:kern w:val="2"/>
          <w:sz w:val="32"/>
          <w:szCs w:val="32"/>
        </w:rPr>
      </w:pPr>
    </w:p>
    <w:p w14:paraId="64C0CC99">
      <w:pPr>
        <w:spacing w:line="360" w:lineRule="auto"/>
        <w:rPr>
          <w:rFonts w:ascii="新宋体" w:hAnsi="新宋体" w:eastAsia="新宋体" w:cs="新宋体"/>
          <w:b/>
          <w:sz w:val="24"/>
        </w:rPr>
      </w:pPr>
      <w:r>
        <w:rPr>
          <w:rFonts w:hint="eastAsia" w:ascii="新宋体" w:hAnsi="新宋体" w:eastAsia="新宋体" w:cs="新宋体"/>
          <w:b/>
          <w:sz w:val="24"/>
        </w:rPr>
        <w:t>一、工程概况</w:t>
      </w:r>
    </w:p>
    <w:p w14:paraId="256F3444">
      <w:pPr>
        <w:spacing w:line="360" w:lineRule="auto"/>
        <w:ind w:firstLine="360" w:firstLineChars="150"/>
        <w:rPr>
          <w:rFonts w:ascii="新宋体" w:hAnsi="新宋体" w:eastAsia="新宋体" w:cs="新宋体"/>
          <w:sz w:val="24"/>
          <w:lang w:val="zh-CN"/>
        </w:rPr>
      </w:pPr>
      <w:r>
        <w:rPr>
          <w:rFonts w:hint="eastAsia" w:ascii="新宋体" w:hAnsi="新宋体" w:eastAsia="新宋体" w:cs="新宋体"/>
          <w:sz w:val="24"/>
          <w:lang w:val="zh-CN"/>
        </w:rPr>
        <w:t>1、</w:t>
      </w:r>
      <w:r>
        <w:rPr>
          <w:rFonts w:hint="eastAsia" w:ascii="宋体" w:hAnsi="宋体" w:cs="宋体"/>
          <w:color w:val="000000"/>
          <w:kern w:val="0"/>
          <w:sz w:val="24"/>
        </w:rPr>
        <w:t>本项目位于</w:t>
      </w:r>
      <w:r>
        <w:rPr>
          <w:rFonts w:hint="eastAsia" w:ascii="宋体" w:hAnsi="宋体" w:cs="宋体"/>
          <w:color w:val="000000"/>
          <w:kern w:val="0"/>
          <w:sz w:val="24"/>
          <w:lang w:val="en-US" w:eastAsia="zh-CN"/>
        </w:rPr>
        <w:t>富春江</w:t>
      </w:r>
      <w:r>
        <w:rPr>
          <w:rFonts w:hint="eastAsia" w:ascii="宋体" w:hAnsi="宋体" w:cs="宋体"/>
          <w:color w:val="000000"/>
          <w:kern w:val="0"/>
          <w:sz w:val="24"/>
        </w:rPr>
        <w:t>镇，</w:t>
      </w:r>
      <w:r>
        <w:rPr>
          <w:rFonts w:hint="eastAsia" w:ascii="宋体" w:hAnsi="宋体" w:cs="宋体"/>
          <w:color w:val="000000"/>
          <w:kern w:val="0"/>
          <w:sz w:val="24"/>
          <w:lang w:val="en-US" w:eastAsia="zh-CN"/>
        </w:rPr>
        <w:t>为红旗畈产业园10KV输变电配套工程，</w:t>
      </w:r>
      <w:r>
        <w:rPr>
          <w:rFonts w:hint="eastAsia" w:ascii="新宋体" w:hAnsi="新宋体" w:eastAsia="新宋体" w:cs="新宋体"/>
          <w:sz w:val="24"/>
          <w:lang w:val="zh-CN"/>
        </w:rPr>
        <w:t>其内</w:t>
      </w:r>
      <w:r>
        <w:rPr>
          <w:rFonts w:hint="eastAsia" w:ascii="新宋体" w:hAnsi="新宋体" w:eastAsia="新宋体" w:cs="新宋体"/>
          <w:sz w:val="24"/>
        </w:rPr>
        <w:t>容包括</w:t>
      </w:r>
      <w:r>
        <w:rPr>
          <w:rFonts w:hint="eastAsia" w:ascii="新宋体" w:hAnsi="新宋体" w:eastAsia="新宋体" w:cs="新宋体"/>
          <w:sz w:val="24"/>
          <w:lang w:val="en-US" w:eastAsia="zh-CN"/>
        </w:rPr>
        <w:t>:宅前开关站土建工程1座，室外钢筋砼电力井2座及电缆保护管及砼包方</w:t>
      </w:r>
      <w:r>
        <w:rPr>
          <w:rFonts w:hint="eastAsia" w:ascii="新宋体" w:hAnsi="新宋体" w:eastAsia="新宋体" w:cs="新宋体"/>
          <w:sz w:val="24"/>
        </w:rPr>
        <w:t>等；</w:t>
      </w:r>
    </w:p>
    <w:p w14:paraId="3D105108">
      <w:pPr>
        <w:numPr>
          <w:ilvl w:val="0"/>
          <w:numId w:val="1"/>
        </w:numPr>
        <w:tabs>
          <w:tab w:val="left" w:pos="840"/>
        </w:tabs>
        <w:autoSpaceDE w:val="0"/>
        <w:autoSpaceDN w:val="0"/>
        <w:adjustRightInd w:val="0"/>
        <w:spacing w:line="360" w:lineRule="auto"/>
        <w:ind w:firstLine="420"/>
        <w:rPr>
          <w:rFonts w:ascii="新宋体" w:hAnsi="新宋体" w:eastAsia="新宋体" w:cs="新宋体"/>
          <w:sz w:val="24"/>
          <w:lang w:val="zh-CN"/>
        </w:rPr>
      </w:pPr>
      <w:r>
        <w:rPr>
          <w:rFonts w:hint="eastAsia" w:ascii="新宋体" w:hAnsi="新宋体" w:eastAsia="新宋体" w:cs="新宋体"/>
          <w:sz w:val="24"/>
          <w:lang w:val="zh-CN"/>
        </w:rPr>
        <w:t>施工现场情况、交通运输、自然地理条件等：符合招标和施工条件；</w:t>
      </w:r>
    </w:p>
    <w:p w14:paraId="05A138FD">
      <w:pPr>
        <w:spacing w:line="360" w:lineRule="auto"/>
        <w:rPr>
          <w:rFonts w:ascii="新宋体" w:hAnsi="新宋体" w:eastAsia="新宋体" w:cs="新宋体"/>
          <w:b/>
          <w:sz w:val="24"/>
        </w:rPr>
      </w:pPr>
      <w:r>
        <w:rPr>
          <w:rFonts w:hint="eastAsia" w:ascii="新宋体" w:hAnsi="新宋体" w:eastAsia="新宋体" w:cs="新宋体"/>
          <w:b/>
          <w:sz w:val="24"/>
        </w:rPr>
        <w:t>二、工程招标范围：</w:t>
      </w:r>
    </w:p>
    <w:p w14:paraId="3FF6290F">
      <w:pPr>
        <w:tabs>
          <w:tab w:val="left" w:pos="840"/>
        </w:tabs>
        <w:autoSpaceDE w:val="0"/>
        <w:autoSpaceDN w:val="0"/>
        <w:adjustRightInd w:val="0"/>
        <w:spacing w:line="360" w:lineRule="auto"/>
        <w:ind w:firstLine="240" w:firstLineChars="100"/>
        <w:rPr>
          <w:rFonts w:ascii="新宋体" w:hAnsi="新宋体" w:eastAsia="新宋体" w:cs="新宋体"/>
          <w:sz w:val="24"/>
        </w:rPr>
      </w:pPr>
      <w:r>
        <w:rPr>
          <w:rFonts w:hint="eastAsia" w:ascii="新宋体" w:hAnsi="新宋体" w:eastAsia="新宋体" w:cs="新宋体"/>
          <w:sz w:val="24"/>
        </w:rPr>
        <w:t>（一）、招标范围：</w:t>
      </w:r>
    </w:p>
    <w:p w14:paraId="0E5E2FB6">
      <w:pPr>
        <w:pStyle w:val="9"/>
        <w:keepNext w:val="0"/>
        <w:keepLines w:val="0"/>
        <w:pageBreakBefore w:val="0"/>
        <w:widowControl/>
        <w:suppressLineNumbers w:val="0"/>
        <w:kinsoku/>
        <w:wordWrap/>
        <w:overflowPunct/>
        <w:topLinePunct w:val="0"/>
        <w:bidi w:val="0"/>
        <w:snapToGrid/>
        <w:spacing w:before="0" w:beforeAutospacing="0" w:after="0" w:afterAutospacing="0" w:line="360" w:lineRule="auto"/>
        <w:ind w:left="0" w:right="0" w:firstLine="0"/>
        <w:textAlignment w:val="auto"/>
        <w:rPr>
          <w:rFonts w:ascii="新宋体" w:hAnsi="新宋体" w:eastAsia="新宋体" w:cs="新宋体"/>
          <w:sz w:val="24"/>
        </w:rPr>
      </w:pPr>
      <w:r>
        <w:rPr>
          <w:rFonts w:hint="eastAsia" w:ascii="新宋体" w:hAnsi="新宋体" w:eastAsia="新宋体" w:cs="新宋体"/>
          <w:sz w:val="24"/>
        </w:rPr>
        <w:t xml:space="preserve">   1、</w:t>
      </w:r>
      <w:r>
        <w:rPr>
          <w:rFonts w:hint="eastAsia" w:ascii="新宋体" w:hAnsi="新宋体" w:eastAsia="新宋体" w:cs="新宋体"/>
          <w:sz w:val="24"/>
          <w:lang w:val="zh-CN" w:eastAsia="zh-CN"/>
        </w:rPr>
        <w:t>《</w:t>
      </w:r>
      <w:r>
        <w:rPr>
          <w:rFonts w:hint="eastAsia"/>
        </w:rPr>
        <w:t>富春江镇红旗畈产业园10KV宅前开关站土建工程</w:t>
      </w:r>
      <w:r>
        <w:rPr>
          <w:rFonts w:hint="eastAsia" w:ascii="新宋体" w:hAnsi="新宋体" w:eastAsia="新宋体" w:cs="新宋体"/>
          <w:sz w:val="24"/>
          <w:lang w:val="zh-CN" w:eastAsia="zh-CN"/>
        </w:rPr>
        <w:t>》</w:t>
      </w:r>
      <w:r>
        <w:rPr>
          <w:rFonts w:hint="eastAsia" w:ascii="新宋体" w:hAnsi="新宋体" w:eastAsia="新宋体" w:cs="新宋体"/>
          <w:sz w:val="24"/>
          <w:lang w:val="en-US" w:eastAsia="zh-CN"/>
        </w:rPr>
        <w:t>图纸</w:t>
      </w:r>
      <w:r>
        <w:rPr>
          <w:rFonts w:hint="eastAsia" w:ascii="新宋体" w:hAnsi="新宋体" w:eastAsia="新宋体" w:cs="新宋体"/>
          <w:sz w:val="24"/>
        </w:rPr>
        <w:t>所示的全部内容(编制说明中注明的除外），具体详见招标文件</w:t>
      </w:r>
      <w:r>
        <w:rPr>
          <w:rFonts w:hint="eastAsia" w:ascii="新宋体" w:hAnsi="新宋体" w:eastAsia="新宋体" w:cs="新宋体"/>
          <w:sz w:val="24"/>
          <w:lang w:val="en-US" w:eastAsia="zh-CN"/>
        </w:rPr>
        <w:t>及招标工程量清单</w:t>
      </w:r>
      <w:r>
        <w:rPr>
          <w:rFonts w:hint="eastAsia" w:ascii="新宋体" w:hAnsi="新宋体" w:eastAsia="新宋体" w:cs="新宋体"/>
          <w:sz w:val="24"/>
        </w:rPr>
        <w:t>。</w:t>
      </w:r>
    </w:p>
    <w:p w14:paraId="1C67A379">
      <w:pPr>
        <w:keepNext w:val="0"/>
        <w:keepLines w:val="0"/>
        <w:pageBreakBefore w:val="0"/>
        <w:tabs>
          <w:tab w:val="left" w:pos="840"/>
        </w:tabs>
        <w:kinsoku/>
        <w:wordWrap/>
        <w:overflowPunct/>
        <w:topLinePunct w:val="0"/>
        <w:autoSpaceDE w:val="0"/>
        <w:autoSpaceDN w:val="0"/>
        <w:bidi w:val="0"/>
        <w:adjustRightInd w:val="0"/>
        <w:snapToGrid/>
        <w:spacing w:line="360" w:lineRule="auto"/>
        <w:ind w:firstLine="240" w:firstLineChars="100"/>
        <w:textAlignment w:val="auto"/>
        <w:rPr>
          <w:rFonts w:ascii="新宋体" w:hAnsi="新宋体" w:eastAsia="新宋体" w:cs="新宋体"/>
          <w:sz w:val="24"/>
        </w:rPr>
      </w:pPr>
      <w:r>
        <w:rPr>
          <w:rFonts w:hint="eastAsia" w:ascii="新宋体" w:hAnsi="新宋体" w:eastAsia="新宋体" w:cs="新宋体"/>
          <w:sz w:val="24"/>
        </w:rPr>
        <w:t xml:space="preserve">   2、根据设计及建设单位要求，对招标图纸中内容进行补充说明：</w:t>
      </w:r>
    </w:p>
    <w:p w14:paraId="60142C67">
      <w:pPr>
        <w:keepNext w:val="0"/>
        <w:keepLines w:val="0"/>
        <w:pageBreakBefore w:val="0"/>
        <w:tabs>
          <w:tab w:val="left" w:pos="840"/>
        </w:tabs>
        <w:kinsoku/>
        <w:wordWrap/>
        <w:overflowPunct/>
        <w:topLinePunct w:val="0"/>
        <w:autoSpaceDE w:val="0"/>
        <w:autoSpaceDN w:val="0"/>
        <w:bidi w:val="0"/>
        <w:adjustRightInd w:val="0"/>
        <w:snapToGrid/>
        <w:spacing w:line="360" w:lineRule="auto"/>
        <w:ind w:firstLine="480" w:firstLineChars="200"/>
        <w:textAlignment w:val="auto"/>
        <w:rPr>
          <w:rFonts w:ascii="新宋体" w:hAnsi="新宋体" w:eastAsia="新宋体" w:cs="新宋体"/>
          <w:sz w:val="24"/>
        </w:rPr>
      </w:pPr>
      <w:r>
        <w:rPr>
          <w:rFonts w:hint="eastAsia" w:ascii="新宋体" w:hAnsi="新宋体" w:eastAsia="新宋体" w:cs="新宋体"/>
          <w:sz w:val="24"/>
        </w:rPr>
        <w:t>2.1  图纸范围</w:t>
      </w:r>
      <w:r>
        <w:rPr>
          <w:rFonts w:hint="eastAsia" w:ascii="新宋体" w:hAnsi="新宋体" w:eastAsia="新宋体" w:cs="新宋体"/>
          <w:sz w:val="24"/>
          <w:lang w:val="en-US" w:eastAsia="zh-CN"/>
        </w:rPr>
        <w:t>所有</w:t>
      </w:r>
      <w:r>
        <w:rPr>
          <w:rFonts w:hint="eastAsia" w:ascii="新宋体" w:hAnsi="新宋体" w:eastAsia="新宋体" w:cs="新宋体"/>
          <w:sz w:val="24"/>
        </w:rPr>
        <w:t>工程量按照设计开列工程量计入本次预算，结算时以实际完成工程量为准。</w:t>
      </w:r>
    </w:p>
    <w:p w14:paraId="52319A1D">
      <w:pPr>
        <w:pStyle w:val="9"/>
        <w:keepNext w:val="0"/>
        <w:keepLines w:val="0"/>
        <w:pageBreakBefore w:val="0"/>
        <w:widowControl/>
        <w:kinsoku/>
        <w:wordWrap/>
        <w:overflowPunct/>
        <w:topLinePunct w:val="0"/>
        <w:bidi w:val="0"/>
        <w:snapToGrid/>
        <w:spacing w:before="0" w:beforeAutospacing="0" w:after="0" w:afterAutospacing="0" w:line="360" w:lineRule="auto"/>
        <w:ind w:firstLine="480" w:firstLineChars="200"/>
        <w:textAlignment w:val="auto"/>
        <w:rPr>
          <w:rFonts w:hint="eastAsia" w:ascii="新宋体" w:hAnsi="新宋体" w:eastAsia="新宋体" w:cs="新宋体"/>
        </w:rPr>
      </w:pPr>
      <w:r>
        <w:rPr>
          <w:rFonts w:hint="eastAsia" w:ascii="新宋体" w:hAnsi="新宋体" w:eastAsia="新宋体" w:cs="新宋体"/>
        </w:rPr>
        <w:t xml:space="preserve">2.2  </w:t>
      </w:r>
      <w:r>
        <w:rPr>
          <w:rFonts w:hint="eastAsia" w:ascii="新宋体" w:hAnsi="新宋体" w:eastAsia="新宋体" w:cs="新宋体"/>
          <w:sz w:val="24"/>
          <w:lang w:val="en-US" w:eastAsia="zh-CN"/>
        </w:rPr>
        <w:t>土石方弃运按就近考虑，消纳由投标人自行考虑计入</w:t>
      </w:r>
      <w:r>
        <w:rPr>
          <w:rFonts w:hint="eastAsia" w:ascii="新宋体" w:hAnsi="新宋体" w:eastAsia="新宋体" w:cs="新宋体"/>
        </w:rPr>
        <w:t>。</w:t>
      </w:r>
    </w:p>
    <w:p w14:paraId="58331864">
      <w:pPr>
        <w:pStyle w:val="9"/>
        <w:keepNext w:val="0"/>
        <w:keepLines w:val="0"/>
        <w:pageBreakBefore w:val="0"/>
        <w:widowControl/>
        <w:kinsoku/>
        <w:wordWrap/>
        <w:overflowPunct/>
        <w:topLinePunct w:val="0"/>
        <w:bidi w:val="0"/>
        <w:snapToGrid/>
        <w:spacing w:before="0" w:beforeAutospacing="0" w:after="0" w:afterAutospacing="0" w:line="360" w:lineRule="auto"/>
        <w:ind w:firstLine="480" w:firstLineChars="200"/>
        <w:textAlignment w:val="auto"/>
        <w:rPr>
          <w:rFonts w:hint="default" w:ascii="新宋体" w:hAnsi="新宋体" w:eastAsia="新宋体" w:cs="新宋体"/>
          <w:lang w:val="en-US" w:eastAsia="zh-CN"/>
        </w:rPr>
      </w:pPr>
      <w:r>
        <w:rPr>
          <w:rFonts w:hint="eastAsia" w:ascii="新宋体" w:hAnsi="新宋体" w:eastAsia="新宋体" w:cs="新宋体"/>
          <w:lang w:val="en-US" w:eastAsia="zh-CN"/>
        </w:rPr>
        <w:t>2.3  工程用混凝土均按商品砼考虑；</w:t>
      </w:r>
    </w:p>
    <w:p w14:paraId="0A8B8786">
      <w:pPr>
        <w:spacing w:line="360" w:lineRule="auto"/>
        <w:rPr>
          <w:rFonts w:ascii="新宋体" w:hAnsi="新宋体" w:eastAsia="新宋体" w:cs="新宋体"/>
          <w:b/>
          <w:sz w:val="24"/>
        </w:rPr>
      </w:pPr>
      <w:r>
        <w:rPr>
          <w:rFonts w:hint="eastAsia" w:ascii="新宋体" w:hAnsi="新宋体" w:eastAsia="新宋体" w:cs="新宋体"/>
          <w:b/>
          <w:sz w:val="24"/>
        </w:rPr>
        <w:t>三、招标控制价编制依据：</w:t>
      </w:r>
    </w:p>
    <w:p w14:paraId="7221DEE7">
      <w:pPr>
        <w:keepNext w:val="0"/>
        <w:keepLines w:val="0"/>
        <w:pageBreakBefore w:val="0"/>
        <w:widowControl w:val="0"/>
        <w:kinsoku/>
        <w:wordWrap/>
        <w:overflowPunct/>
        <w:topLinePunct w:val="0"/>
        <w:autoSpaceDE/>
        <w:autoSpaceDN/>
        <w:bidi w:val="0"/>
        <w:adjustRightInd/>
        <w:snapToGrid w:val="0"/>
        <w:spacing w:line="360" w:lineRule="auto"/>
        <w:ind w:left="959" w:leftChars="228" w:hanging="480" w:hangingChars="200"/>
        <w:textAlignment w:val="auto"/>
        <w:rPr>
          <w:rFonts w:ascii="宋体" w:hAnsi="宋体" w:cs="宋体"/>
          <w:sz w:val="24"/>
        </w:rPr>
      </w:pPr>
      <w:r>
        <w:rPr>
          <w:rFonts w:hint="eastAsia" w:ascii="新宋体" w:hAnsi="新宋体" w:eastAsia="新宋体" w:cs="新宋体"/>
          <w:sz w:val="24"/>
        </w:rPr>
        <w:t>1、</w:t>
      </w:r>
      <w:r>
        <w:rPr>
          <w:rFonts w:hint="eastAsia" w:ascii="新宋体" w:hAnsi="新宋体" w:eastAsia="新宋体" w:cs="新宋体"/>
          <w:sz w:val="24"/>
          <w:lang w:eastAsia="zh-CN"/>
        </w:rPr>
        <w:t>《</w:t>
      </w:r>
      <w:r>
        <w:rPr>
          <w:rFonts w:hint="eastAsia" w:ascii="宋体" w:hAnsi="宋体" w:eastAsia="宋体" w:cs="宋体"/>
          <w:sz w:val="24"/>
          <w:szCs w:val="24"/>
        </w:rPr>
        <w:t>建设工程工程量清单计价规范（GB50500－2013）</w:t>
      </w:r>
      <w:r>
        <w:rPr>
          <w:rFonts w:hint="eastAsia" w:ascii="宋体" w:hAnsi="宋体" w:cs="宋体"/>
          <w:sz w:val="24"/>
          <w:szCs w:val="24"/>
          <w:lang w:eastAsia="zh-CN"/>
        </w:rPr>
        <w:t>》、</w:t>
      </w:r>
      <w:r>
        <w:rPr>
          <w:rFonts w:hint="eastAsia" w:ascii="宋体" w:hAnsi="宋体" w:cs="宋体"/>
          <w:sz w:val="24"/>
        </w:rPr>
        <w:t>《浙江省房屋建筑与装饰工程预算定额2018版》、《浙江省通用安装工程预算定额2018版》、《浙江省建设工程施工费用定额2018版》</w:t>
      </w:r>
      <w:r>
        <w:rPr>
          <w:rFonts w:hint="eastAsia" w:ascii="宋体" w:hAnsi="宋体" w:cs="宋体"/>
          <w:sz w:val="24"/>
          <w:lang w:val="en-US" w:eastAsia="zh-CN"/>
        </w:rPr>
        <w:t>等配套文件</w:t>
      </w:r>
      <w:r>
        <w:rPr>
          <w:rFonts w:hint="eastAsia" w:ascii="宋体" w:hAnsi="宋体" w:cs="宋体"/>
          <w:sz w:val="24"/>
        </w:rPr>
        <w:t>。</w:t>
      </w:r>
    </w:p>
    <w:p w14:paraId="181644D0">
      <w:pPr>
        <w:tabs>
          <w:tab w:val="left" w:pos="840"/>
        </w:tabs>
        <w:autoSpaceDE w:val="0"/>
        <w:autoSpaceDN w:val="0"/>
        <w:adjustRightInd w:val="0"/>
        <w:spacing w:line="360" w:lineRule="auto"/>
        <w:ind w:left="719" w:leftChars="228" w:hanging="240" w:hangingChars="100"/>
        <w:rPr>
          <w:rFonts w:ascii="新宋体" w:hAnsi="新宋体" w:eastAsia="新宋体" w:cs="新宋体"/>
          <w:sz w:val="24"/>
        </w:rPr>
      </w:pPr>
      <w:r>
        <w:rPr>
          <w:rFonts w:hint="eastAsia" w:ascii="新宋体" w:hAnsi="新宋体" w:eastAsia="新宋体" w:cs="新宋体"/>
          <w:sz w:val="24"/>
        </w:rPr>
        <w:t>2、</w:t>
      </w:r>
      <w:r>
        <w:rPr>
          <w:rFonts w:hint="eastAsia" w:ascii="宋体" w:hAnsi="宋体" w:cs="宋体"/>
          <w:sz w:val="24"/>
        </w:rPr>
        <w:t>信息价：《杭州造价信息》202</w:t>
      </w:r>
      <w:r>
        <w:rPr>
          <w:rFonts w:hint="eastAsia" w:ascii="宋体" w:hAnsi="宋体" w:cs="宋体"/>
          <w:sz w:val="24"/>
          <w:lang w:val="en-US" w:eastAsia="zh-CN"/>
        </w:rPr>
        <w:t>5</w:t>
      </w:r>
      <w:r>
        <w:rPr>
          <w:rFonts w:hint="eastAsia" w:ascii="宋体" w:hAnsi="宋体" w:cs="宋体"/>
          <w:sz w:val="24"/>
        </w:rPr>
        <w:t>年第</w:t>
      </w:r>
      <w:r>
        <w:rPr>
          <w:rFonts w:hint="eastAsia" w:ascii="宋体" w:hAnsi="宋体" w:cs="宋体"/>
          <w:sz w:val="24"/>
          <w:lang w:val="en-US" w:eastAsia="zh-CN"/>
        </w:rPr>
        <w:t>12</w:t>
      </w:r>
      <w:r>
        <w:rPr>
          <w:rFonts w:hint="eastAsia" w:ascii="宋体" w:hAnsi="宋体" w:cs="宋体"/>
          <w:sz w:val="24"/>
        </w:rPr>
        <w:t>期杭州/桐庐地区信息价,桐庐地区无信息价的参照杭州地区信息价，《浙江造价信息》202</w:t>
      </w:r>
      <w:r>
        <w:rPr>
          <w:rFonts w:hint="eastAsia" w:ascii="宋体" w:hAnsi="宋体" w:cs="宋体"/>
          <w:sz w:val="24"/>
          <w:lang w:val="en-US" w:eastAsia="zh-CN"/>
        </w:rPr>
        <w:t>5</w:t>
      </w:r>
      <w:r>
        <w:rPr>
          <w:rFonts w:hint="eastAsia" w:ascii="宋体" w:hAnsi="宋体" w:cs="宋体"/>
          <w:sz w:val="24"/>
        </w:rPr>
        <w:t>年第</w:t>
      </w:r>
      <w:r>
        <w:rPr>
          <w:rFonts w:hint="eastAsia" w:ascii="宋体" w:hAnsi="宋体" w:cs="宋体"/>
          <w:sz w:val="24"/>
          <w:lang w:val="en-US" w:eastAsia="zh-CN"/>
        </w:rPr>
        <w:t>12</w:t>
      </w:r>
      <w:r>
        <w:rPr>
          <w:rFonts w:hint="eastAsia" w:ascii="宋体" w:hAnsi="宋体" w:cs="宋体"/>
          <w:sz w:val="24"/>
        </w:rPr>
        <w:t>期，无信息价的材料按市场调查价计取。</w:t>
      </w:r>
    </w:p>
    <w:p w14:paraId="6F2DE60A">
      <w:pPr>
        <w:tabs>
          <w:tab w:val="left" w:pos="840"/>
        </w:tabs>
        <w:autoSpaceDE w:val="0"/>
        <w:autoSpaceDN w:val="0"/>
        <w:adjustRightInd w:val="0"/>
        <w:spacing w:line="360" w:lineRule="auto"/>
        <w:ind w:firstLine="480" w:firstLineChars="200"/>
        <w:rPr>
          <w:rFonts w:ascii="新宋体" w:hAnsi="新宋体" w:eastAsia="新宋体" w:cs="新宋体"/>
          <w:sz w:val="24"/>
        </w:rPr>
      </w:pPr>
      <w:r>
        <w:rPr>
          <w:rFonts w:hint="eastAsia" w:ascii="新宋体" w:hAnsi="新宋体" w:eastAsia="新宋体" w:cs="新宋体"/>
          <w:sz w:val="24"/>
        </w:rPr>
        <w:t>3、</w:t>
      </w:r>
      <w:r>
        <w:rPr>
          <w:rFonts w:hint="eastAsia" w:ascii="新宋体" w:hAnsi="新宋体" w:eastAsia="新宋体" w:cs="新宋体"/>
          <w:sz w:val="24"/>
          <w:lang w:val="en-US" w:eastAsia="zh-CN"/>
        </w:rPr>
        <w:t>杭州市电力</w:t>
      </w:r>
      <w:r>
        <w:rPr>
          <w:rFonts w:hint="eastAsia" w:ascii="新宋体" w:hAnsi="新宋体" w:eastAsia="新宋体" w:cs="新宋体"/>
          <w:sz w:val="24"/>
        </w:rPr>
        <w:t>设计有限公司设计的施工图；</w:t>
      </w:r>
    </w:p>
    <w:p w14:paraId="3B254A02">
      <w:pPr>
        <w:tabs>
          <w:tab w:val="left" w:pos="840"/>
        </w:tabs>
        <w:autoSpaceDE w:val="0"/>
        <w:autoSpaceDN w:val="0"/>
        <w:adjustRightInd w:val="0"/>
        <w:spacing w:line="360" w:lineRule="auto"/>
        <w:ind w:firstLine="480" w:firstLineChars="200"/>
        <w:rPr>
          <w:rFonts w:ascii="新宋体" w:hAnsi="新宋体" w:eastAsia="新宋体" w:cs="新宋体"/>
          <w:sz w:val="24"/>
        </w:rPr>
      </w:pPr>
      <w:r>
        <w:rPr>
          <w:rFonts w:hint="eastAsia" w:ascii="新宋体" w:hAnsi="新宋体" w:eastAsia="新宋体" w:cs="新宋体"/>
          <w:sz w:val="24"/>
        </w:rPr>
        <w:t>4、与建设工程项目有关的标准、规范、技术资料；</w:t>
      </w:r>
    </w:p>
    <w:p w14:paraId="6CC4F6DF">
      <w:pPr>
        <w:tabs>
          <w:tab w:val="left" w:pos="840"/>
        </w:tabs>
        <w:autoSpaceDE w:val="0"/>
        <w:autoSpaceDN w:val="0"/>
        <w:adjustRightInd w:val="0"/>
        <w:spacing w:line="360" w:lineRule="auto"/>
        <w:ind w:firstLine="480" w:firstLineChars="200"/>
        <w:rPr>
          <w:rFonts w:ascii="新宋体" w:hAnsi="新宋体" w:eastAsia="新宋体" w:cs="新宋体"/>
          <w:sz w:val="24"/>
        </w:rPr>
      </w:pPr>
      <w:r>
        <w:rPr>
          <w:rFonts w:hint="eastAsia" w:ascii="新宋体" w:hAnsi="新宋体" w:eastAsia="新宋体" w:cs="新宋体"/>
          <w:sz w:val="24"/>
        </w:rPr>
        <w:t>5、拟定的招标文件；</w:t>
      </w:r>
    </w:p>
    <w:p w14:paraId="0013D381">
      <w:pPr>
        <w:spacing w:line="360" w:lineRule="auto"/>
        <w:ind w:firstLine="480" w:firstLineChars="200"/>
        <w:rPr>
          <w:rFonts w:ascii="新宋体" w:hAnsi="新宋体" w:eastAsia="新宋体" w:cs="新宋体"/>
          <w:kern w:val="0"/>
          <w:sz w:val="24"/>
          <w:lang w:val="zh-CN"/>
        </w:rPr>
      </w:pPr>
      <w:r>
        <w:rPr>
          <w:rFonts w:hint="eastAsia" w:ascii="新宋体" w:hAnsi="新宋体" w:eastAsia="新宋体" w:cs="新宋体"/>
          <w:sz w:val="24"/>
        </w:rPr>
        <w:t>6、</w:t>
      </w:r>
      <w:r>
        <w:rPr>
          <w:rFonts w:hint="eastAsia" w:ascii="新宋体" w:hAnsi="新宋体" w:eastAsia="新宋体" w:cs="新宋体"/>
          <w:kern w:val="0"/>
          <w:sz w:val="24"/>
        </w:rPr>
        <w:t>全面贯彻执行营改增后浙江省建设工程计价规则的调整，即杭建市发【2016】216号文件、建建发【2016】144号文件、杭造价投资办【2016】23号文件；</w:t>
      </w:r>
    </w:p>
    <w:p w14:paraId="7FAB72DF">
      <w:pPr>
        <w:spacing w:line="360" w:lineRule="auto"/>
        <w:ind w:firstLine="480" w:firstLineChars="200"/>
        <w:rPr>
          <w:rFonts w:ascii="新宋体" w:hAnsi="新宋体" w:eastAsia="新宋体" w:cs="新宋体"/>
          <w:kern w:val="0"/>
          <w:sz w:val="24"/>
        </w:rPr>
      </w:pPr>
      <w:r>
        <w:rPr>
          <w:rFonts w:hint="eastAsia" w:ascii="新宋体" w:hAnsi="新宋体" w:eastAsia="新宋体" w:cs="新宋体"/>
          <w:sz w:val="24"/>
        </w:rPr>
        <w:t>7、</w:t>
      </w:r>
      <w:r>
        <w:rPr>
          <w:rFonts w:hint="eastAsia" w:ascii="新宋体" w:hAnsi="新宋体" w:eastAsia="新宋体" w:cs="新宋体"/>
          <w:kern w:val="0"/>
          <w:sz w:val="24"/>
        </w:rPr>
        <w:t>税金费率根据《关于水利建设基金暂停征收后调整浙江省建设工程造价税金费率的通知》（浙建站定〔2016〕54号）；</w:t>
      </w:r>
    </w:p>
    <w:p w14:paraId="299250C2">
      <w:pPr>
        <w:pStyle w:val="4"/>
        <w:spacing w:line="360" w:lineRule="auto"/>
        <w:ind w:firstLine="480"/>
        <w:rPr>
          <w:rFonts w:ascii="新宋体" w:hAnsi="新宋体" w:eastAsia="新宋体" w:cs="新宋体"/>
          <w:sz w:val="24"/>
        </w:rPr>
      </w:pPr>
      <w:r>
        <w:rPr>
          <w:rFonts w:hint="eastAsia" w:ascii="新宋体" w:hAnsi="新宋体" w:eastAsia="新宋体" w:cs="新宋体"/>
          <w:sz w:val="24"/>
        </w:rPr>
        <w:t>8、常规的施工组织设计或施工方案；</w:t>
      </w:r>
    </w:p>
    <w:p w14:paraId="1EB50A63">
      <w:pPr>
        <w:tabs>
          <w:tab w:val="left" w:pos="840"/>
        </w:tabs>
        <w:autoSpaceDE w:val="0"/>
        <w:autoSpaceDN w:val="0"/>
        <w:adjustRightInd w:val="0"/>
        <w:spacing w:line="360" w:lineRule="auto"/>
        <w:ind w:firstLine="480" w:firstLineChars="200"/>
        <w:rPr>
          <w:rFonts w:ascii="新宋体" w:hAnsi="新宋体" w:eastAsia="新宋体" w:cs="新宋体"/>
          <w:sz w:val="24"/>
        </w:rPr>
      </w:pPr>
      <w:r>
        <w:rPr>
          <w:rFonts w:hint="eastAsia" w:ascii="新宋体" w:hAnsi="新宋体" w:eastAsia="新宋体" w:cs="新宋体"/>
          <w:sz w:val="24"/>
        </w:rPr>
        <w:t>9、其他相关资料。</w:t>
      </w:r>
    </w:p>
    <w:p w14:paraId="744222D5">
      <w:pPr>
        <w:spacing w:line="360" w:lineRule="auto"/>
        <w:rPr>
          <w:rFonts w:ascii="新宋体" w:hAnsi="新宋体" w:eastAsia="新宋体" w:cs="新宋体"/>
          <w:sz w:val="24"/>
        </w:rPr>
      </w:pPr>
      <w:r>
        <w:rPr>
          <w:rFonts w:hint="eastAsia" w:ascii="新宋体" w:hAnsi="新宋体" w:eastAsia="新宋体" w:cs="新宋体"/>
          <w:b/>
          <w:sz w:val="24"/>
        </w:rPr>
        <w:t>四、工程质量、工期、材料、施工等要求：</w:t>
      </w:r>
      <w:r>
        <w:rPr>
          <w:rFonts w:hint="eastAsia" w:ascii="新宋体" w:hAnsi="新宋体" w:eastAsia="新宋体" w:cs="新宋体"/>
          <w:sz w:val="24"/>
        </w:rPr>
        <w:t>按招标文件</w:t>
      </w:r>
    </w:p>
    <w:p w14:paraId="3525D943">
      <w:pPr>
        <w:spacing w:line="360" w:lineRule="auto"/>
        <w:rPr>
          <w:rFonts w:ascii="新宋体" w:hAnsi="新宋体" w:eastAsia="新宋体" w:cs="新宋体"/>
          <w:sz w:val="24"/>
        </w:rPr>
      </w:pPr>
      <w:r>
        <w:rPr>
          <w:rFonts w:hint="eastAsia" w:ascii="新宋体" w:hAnsi="新宋体" w:eastAsia="新宋体" w:cs="新宋体"/>
          <w:b/>
          <w:sz w:val="24"/>
        </w:rPr>
        <w:t>五、取费说明：</w:t>
      </w:r>
    </w:p>
    <w:p w14:paraId="29119638">
      <w:pPr>
        <w:spacing w:line="360" w:lineRule="auto"/>
        <w:rPr>
          <w:rFonts w:ascii="新宋体" w:hAnsi="新宋体" w:eastAsia="新宋体" w:cs="新宋体"/>
          <w:b/>
          <w:sz w:val="24"/>
        </w:rPr>
      </w:pPr>
      <w:r>
        <w:rPr>
          <w:rFonts w:hint="eastAsia" w:ascii="新宋体" w:hAnsi="新宋体" w:eastAsia="新宋体" w:cs="新宋体"/>
          <w:b/>
          <w:sz w:val="24"/>
        </w:rPr>
        <w:t xml:space="preserve">  招标控制价取费说明</w:t>
      </w:r>
    </w:p>
    <w:p w14:paraId="6F023861">
      <w:pPr>
        <w:tabs>
          <w:tab w:val="left" w:pos="840"/>
        </w:tabs>
        <w:autoSpaceDE w:val="0"/>
        <w:autoSpaceDN w:val="0"/>
        <w:adjustRightInd w:val="0"/>
        <w:spacing w:line="360" w:lineRule="auto"/>
        <w:ind w:firstLine="240" w:firstLineChars="100"/>
        <w:rPr>
          <w:rFonts w:ascii="新宋体" w:hAnsi="新宋体" w:eastAsia="新宋体" w:cs="新宋体"/>
          <w:sz w:val="24"/>
        </w:rPr>
      </w:pPr>
      <w:r>
        <w:rPr>
          <w:rFonts w:hint="eastAsia" w:ascii="新宋体" w:hAnsi="新宋体" w:eastAsia="新宋体" w:cs="新宋体"/>
          <w:sz w:val="24"/>
        </w:rPr>
        <w:t>1、管理费及利润：按</w:t>
      </w:r>
      <w:r>
        <w:rPr>
          <w:rFonts w:hint="eastAsia" w:ascii="宋体" w:hAnsi="宋体" w:eastAsia="新宋体" w:cs="宋体"/>
          <w:sz w:val="24"/>
          <w:lang w:val="en-US" w:eastAsia="zh-CN"/>
        </w:rPr>
        <w:t>中值</w:t>
      </w:r>
      <w:r>
        <w:rPr>
          <w:rFonts w:hint="eastAsia" w:ascii="新宋体" w:hAnsi="新宋体" w:eastAsia="新宋体" w:cs="新宋体"/>
          <w:sz w:val="24"/>
        </w:rPr>
        <w:t>计取；</w:t>
      </w:r>
    </w:p>
    <w:p w14:paraId="78B83858">
      <w:pPr>
        <w:tabs>
          <w:tab w:val="left" w:pos="840"/>
        </w:tabs>
        <w:autoSpaceDE w:val="0"/>
        <w:autoSpaceDN w:val="0"/>
        <w:adjustRightInd w:val="0"/>
        <w:spacing w:line="360" w:lineRule="auto"/>
        <w:ind w:firstLine="240" w:firstLineChars="100"/>
        <w:rPr>
          <w:rFonts w:ascii="新宋体" w:hAnsi="新宋体" w:eastAsia="新宋体" w:cs="新宋体"/>
          <w:sz w:val="24"/>
        </w:rPr>
      </w:pPr>
      <w:r>
        <w:rPr>
          <w:rFonts w:hint="eastAsia" w:ascii="新宋体" w:hAnsi="新宋体" w:eastAsia="新宋体" w:cs="新宋体"/>
          <w:sz w:val="24"/>
        </w:rPr>
        <w:t>2、规费：按</w:t>
      </w:r>
      <w:r>
        <w:rPr>
          <w:rFonts w:hint="eastAsia" w:ascii="新宋体" w:hAnsi="新宋体" w:eastAsia="新宋体" w:cs="新宋体"/>
          <w:sz w:val="24"/>
          <w:lang w:val="en-US" w:eastAsia="zh-CN"/>
        </w:rPr>
        <w:t>规定</w:t>
      </w:r>
      <w:r>
        <w:rPr>
          <w:rFonts w:hint="eastAsia" w:ascii="新宋体" w:hAnsi="新宋体" w:eastAsia="新宋体" w:cs="新宋体"/>
          <w:sz w:val="24"/>
        </w:rPr>
        <w:t>费率计算；</w:t>
      </w:r>
    </w:p>
    <w:p w14:paraId="73AC5A8E">
      <w:pPr>
        <w:tabs>
          <w:tab w:val="left" w:pos="840"/>
        </w:tabs>
        <w:autoSpaceDE w:val="0"/>
        <w:autoSpaceDN w:val="0"/>
        <w:adjustRightInd w:val="0"/>
        <w:spacing w:line="360" w:lineRule="auto"/>
        <w:ind w:firstLine="240" w:firstLineChars="100"/>
        <w:rPr>
          <w:rFonts w:ascii="新宋体" w:hAnsi="新宋体" w:eastAsia="新宋体" w:cs="新宋体"/>
          <w:b/>
          <w:bCs/>
          <w:sz w:val="24"/>
        </w:rPr>
      </w:pPr>
      <w:r>
        <w:rPr>
          <w:rFonts w:hint="eastAsia" w:ascii="新宋体" w:hAnsi="新宋体" w:eastAsia="新宋体" w:cs="新宋体"/>
          <w:sz w:val="24"/>
        </w:rPr>
        <w:t>3、税金按9%计取。</w:t>
      </w:r>
    </w:p>
    <w:p w14:paraId="0E1F4C9B">
      <w:pPr>
        <w:tabs>
          <w:tab w:val="left" w:pos="840"/>
        </w:tabs>
        <w:autoSpaceDE w:val="0"/>
        <w:autoSpaceDN w:val="0"/>
        <w:adjustRightInd w:val="0"/>
        <w:spacing w:line="360" w:lineRule="auto"/>
        <w:ind w:firstLine="241" w:firstLineChars="100"/>
        <w:rPr>
          <w:rFonts w:ascii="新宋体" w:hAnsi="新宋体" w:eastAsia="新宋体" w:cs="新宋体"/>
          <w:b/>
          <w:bCs/>
          <w:sz w:val="24"/>
        </w:rPr>
      </w:pPr>
      <w:r>
        <w:rPr>
          <w:rFonts w:hint="eastAsia" w:ascii="新宋体" w:hAnsi="新宋体" w:eastAsia="新宋体" w:cs="新宋体"/>
          <w:b/>
          <w:bCs/>
          <w:sz w:val="24"/>
        </w:rPr>
        <w:t>六、其它相关说明：</w:t>
      </w:r>
    </w:p>
    <w:p w14:paraId="786B5C17">
      <w:pPr>
        <w:pStyle w:val="16"/>
        <w:spacing w:line="450" w:lineRule="exact"/>
        <w:ind w:firstLine="480"/>
        <w:rPr>
          <w:rFonts w:hint="eastAsia" w:hAnsi="宋体"/>
          <w:sz w:val="24"/>
          <w:szCs w:val="24"/>
        </w:rPr>
      </w:pPr>
      <w:r>
        <w:rPr>
          <w:rFonts w:hint="eastAsia" w:hAnsi="宋体"/>
          <w:sz w:val="24"/>
          <w:szCs w:val="24"/>
        </w:rPr>
        <w:t>1、工程量清单按照图纸以及有关工程量的国家标准、行业标准约定的工程量计算规则编制。约定计量规则中没有的子目，其工程量按照有合同约束力的图纸所标示尺寸的理论净量计算，计量采用中华人民共和国法定计量单位；</w:t>
      </w:r>
    </w:p>
    <w:p w14:paraId="3D089C44">
      <w:pPr>
        <w:pStyle w:val="16"/>
        <w:spacing w:line="450" w:lineRule="exact"/>
        <w:ind w:firstLine="480"/>
        <w:rPr>
          <w:rFonts w:hint="eastAsia" w:hAnsi="宋体"/>
          <w:sz w:val="24"/>
          <w:szCs w:val="24"/>
        </w:rPr>
      </w:pPr>
      <w:r>
        <w:rPr>
          <w:rFonts w:hint="eastAsia" w:hAnsi="宋体"/>
          <w:sz w:val="24"/>
          <w:szCs w:val="24"/>
        </w:rPr>
        <w:t>2、除非合同另有规定，编制的预算中有标价的单价和总额价均已包括了为实施和完成合同工程所需的劳务、材料、机械、质检(自检)、安装、缺陷修复、管理、保险、税费、利润等费用，以及合同明示或暗示的所有责任、义务和一般风险；</w:t>
      </w:r>
    </w:p>
    <w:p w14:paraId="262F9E00">
      <w:pPr>
        <w:spacing w:line="450" w:lineRule="exact"/>
        <w:ind w:firstLine="480" w:firstLineChars="200"/>
        <w:rPr>
          <w:rFonts w:hint="eastAsia" w:ascii="宋体" w:hAnsi="宋体"/>
          <w:kern w:val="0"/>
          <w:sz w:val="24"/>
        </w:rPr>
      </w:pPr>
      <w:r>
        <w:rPr>
          <w:rFonts w:hint="eastAsia" w:hAnsi="宋体"/>
          <w:sz w:val="24"/>
          <w:szCs w:val="24"/>
        </w:rPr>
        <w:t>3、</w:t>
      </w:r>
      <w:r>
        <w:rPr>
          <w:rFonts w:hint="eastAsia" w:hAnsi="宋体"/>
          <w:sz w:val="24"/>
        </w:rPr>
        <w:t>本工程量清单中所列工程量，仅作为投标时的共同基础，不能作为最终结算与支付的依据。实际支付应按实际完成的工程量，由承包人按技术规范规定的计量方法，以监理人认可的尺寸、断面计量，按工程量清单的单价和总额价计算支付金额；或者根据具体情况，按合同条款的规定，由监理人审核并经过招标人确定后的单价或总额价计算支付额。工程量清单预算中各项金额均以人民币(元)</w:t>
      </w:r>
      <w:r>
        <w:rPr>
          <w:rFonts w:hint="eastAsia" w:ascii="宋体" w:hAnsi="宋体"/>
          <w:kern w:val="0"/>
          <w:sz w:val="24"/>
        </w:rPr>
        <w:t>结算；</w:t>
      </w:r>
    </w:p>
    <w:p w14:paraId="21FCCE07">
      <w:pPr>
        <w:spacing w:line="450" w:lineRule="exact"/>
        <w:ind w:firstLine="480" w:firstLineChars="200"/>
        <w:rPr>
          <w:rFonts w:ascii="新宋体" w:hAnsi="新宋体" w:eastAsia="新宋体" w:cs="新宋体"/>
          <w:kern w:val="0"/>
          <w:sz w:val="24"/>
        </w:rPr>
      </w:pPr>
      <w:r>
        <w:rPr>
          <w:rFonts w:hint="eastAsia" w:ascii="宋体" w:hAnsi="宋体"/>
          <w:kern w:val="0"/>
          <w:sz w:val="24"/>
          <w:lang w:val="en-US" w:eastAsia="zh-CN"/>
        </w:rPr>
        <w:t>4</w:t>
      </w:r>
      <w:r>
        <w:rPr>
          <w:rFonts w:hint="eastAsia" w:ascii="宋体" w:hAnsi="宋体"/>
          <w:kern w:val="0"/>
          <w:sz w:val="24"/>
        </w:rPr>
        <w:t>、</w:t>
      </w:r>
      <w:bookmarkStart w:id="0" w:name="_GoBack"/>
      <w:bookmarkEnd w:id="0"/>
      <w:r>
        <w:rPr>
          <w:rFonts w:hint="eastAsia"/>
          <w:sz w:val="24"/>
        </w:rPr>
        <w:t>投标人应综合考虑本项目施工政策处理、</w:t>
      </w:r>
      <w:r>
        <w:rPr>
          <w:rFonts w:hint="eastAsia"/>
          <w:sz w:val="24"/>
          <w:lang w:val="en-US" w:eastAsia="zh-CN"/>
        </w:rPr>
        <w:t>施工</w:t>
      </w:r>
      <w:r>
        <w:rPr>
          <w:rFonts w:hint="eastAsia"/>
          <w:sz w:val="24"/>
        </w:rPr>
        <w:t>组织（含方案编制、评审等一切准备工作）、</w:t>
      </w:r>
      <w:r>
        <w:rPr>
          <w:rFonts w:hint="eastAsia"/>
          <w:sz w:val="24"/>
          <w:lang w:val="en-US" w:eastAsia="zh-CN"/>
        </w:rPr>
        <w:t>及其他</w:t>
      </w:r>
      <w:r>
        <w:rPr>
          <w:rFonts w:hint="eastAsia"/>
          <w:sz w:val="24"/>
        </w:rPr>
        <w:t>不确定性等的特殊性，招标人不另行支付。</w:t>
      </w:r>
      <w:r>
        <w:rPr>
          <w:rFonts w:ascii="新宋体" w:hAnsi="新宋体" w:eastAsia="新宋体" w:cs="新宋体"/>
          <w:kern w:val="0"/>
          <w:sz w:val="24"/>
        </w:rPr>
        <w:tab/>
      </w:r>
    </w:p>
    <w:p w14:paraId="70BDBAF5">
      <w:pPr>
        <w:pStyle w:val="8"/>
      </w:pPr>
    </w:p>
    <w:p w14:paraId="06C0C61D">
      <w:pPr>
        <w:spacing w:line="360" w:lineRule="auto"/>
        <w:ind w:firstLine="5880" w:firstLineChars="2450"/>
        <w:rPr>
          <w:rFonts w:ascii="新宋体" w:hAnsi="新宋体" w:eastAsia="新宋体" w:cs="新宋体"/>
          <w:sz w:val="24"/>
        </w:rPr>
      </w:pPr>
      <w:r>
        <w:rPr>
          <w:rFonts w:hint="eastAsia" w:ascii="新宋体" w:hAnsi="新宋体" w:eastAsia="新宋体" w:cs="新宋体"/>
          <w:sz w:val="24"/>
        </w:rPr>
        <w:t xml:space="preserve"> 202</w:t>
      </w:r>
      <w:r>
        <w:rPr>
          <w:rFonts w:hint="eastAsia" w:ascii="新宋体" w:hAnsi="新宋体" w:eastAsia="新宋体" w:cs="新宋体"/>
          <w:sz w:val="24"/>
          <w:lang w:val="en-US" w:eastAsia="zh-CN"/>
        </w:rPr>
        <w:t>6</w:t>
      </w:r>
      <w:r>
        <w:rPr>
          <w:rFonts w:hint="eastAsia" w:ascii="新宋体" w:hAnsi="新宋体" w:eastAsia="新宋体" w:cs="新宋体"/>
          <w:sz w:val="24"/>
        </w:rPr>
        <w:t>年0</w:t>
      </w:r>
      <w:r>
        <w:rPr>
          <w:rFonts w:hint="eastAsia" w:ascii="新宋体" w:hAnsi="新宋体" w:eastAsia="新宋体" w:cs="新宋体"/>
          <w:sz w:val="24"/>
          <w:lang w:val="en-US" w:eastAsia="zh-CN"/>
        </w:rPr>
        <w:t>2</w:t>
      </w:r>
      <w:r>
        <w:rPr>
          <w:rFonts w:hint="eastAsia" w:ascii="新宋体" w:hAnsi="新宋体" w:eastAsia="新宋体" w:cs="新宋体"/>
          <w:sz w:val="24"/>
        </w:rPr>
        <w:t>月</w:t>
      </w:r>
      <w:r>
        <w:rPr>
          <w:rFonts w:hint="eastAsia" w:ascii="新宋体" w:hAnsi="新宋体" w:eastAsia="新宋体" w:cs="新宋体"/>
          <w:sz w:val="24"/>
          <w:lang w:val="en-US" w:eastAsia="zh-CN"/>
        </w:rPr>
        <w:t>05</w:t>
      </w:r>
      <w:r>
        <w:rPr>
          <w:rFonts w:hint="eastAsia" w:ascii="新宋体" w:hAnsi="新宋体" w:eastAsia="新宋体" w:cs="新宋体"/>
          <w:sz w:val="24"/>
        </w:rPr>
        <w:t>日</w:t>
      </w:r>
    </w:p>
    <w:p w14:paraId="4F30A3BB">
      <w:pPr>
        <w:spacing w:line="360" w:lineRule="auto"/>
        <w:rPr>
          <w:sz w:val="24"/>
        </w:rPr>
      </w:pPr>
    </w:p>
    <w:sectPr>
      <w:footerReference r:id="rId3" w:type="default"/>
      <w:footerReference r:id="rId4" w:type="even"/>
      <w:pgSz w:w="11850" w:h="16783"/>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54DEF">
    <w:pPr>
      <w:pStyle w:val="6"/>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EF212">
    <w:pPr>
      <w:pStyle w:val="6"/>
      <w:framePr w:wrap="around" w:vAnchor="text" w:hAnchor="margin" w:xAlign="center" w:y="1"/>
      <w:rPr>
        <w:rStyle w:val="13"/>
      </w:rPr>
    </w:pPr>
    <w:r>
      <w:fldChar w:fldCharType="begin"/>
    </w:r>
    <w:r>
      <w:rPr>
        <w:rStyle w:val="13"/>
      </w:rPr>
      <w:instrText xml:space="preserve">PAGE  </w:instrText>
    </w:r>
    <w:r>
      <w:fldChar w:fldCharType="end"/>
    </w:r>
  </w:p>
  <w:p w14:paraId="2C95CCC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614EB"/>
    <w:multiLevelType w:val="singleLevel"/>
    <w:tmpl w:val="56E614E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E85A99"/>
    <w:rsid w:val="00004240"/>
    <w:rsid w:val="000076D0"/>
    <w:rsid w:val="000134DA"/>
    <w:rsid w:val="00023309"/>
    <w:rsid w:val="0004283C"/>
    <w:rsid w:val="00056F9C"/>
    <w:rsid w:val="0006224F"/>
    <w:rsid w:val="000A1D2A"/>
    <w:rsid w:val="000A74D7"/>
    <w:rsid w:val="000A7E43"/>
    <w:rsid w:val="000C04A2"/>
    <w:rsid w:val="000D16B3"/>
    <w:rsid w:val="000D40B5"/>
    <w:rsid w:val="000E1B8A"/>
    <w:rsid w:val="00105B10"/>
    <w:rsid w:val="001069FB"/>
    <w:rsid w:val="00107A1D"/>
    <w:rsid w:val="00126A77"/>
    <w:rsid w:val="0013295C"/>
    <w:rsid w:val="0016208F"/>
    <w:rsid w:val="001636FA"/>
    <w:rsid w:val="00165917"/>
    <w:rsid w:val="00172803"/>
    <w:rsid w:val="00175856"/>
    <w:rsid w:val="001763E9"/>
    <w:rsid w:val="00194A80"/>
    <w:rsid w:val="00196B90"/>
    <w:rsid w:val="001B759E"/>
    <w:rsid w:val="001C2FD9"/>
    <w:rsid w:val="001C71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A7B38"/>
    <w:rsid w:val="002B15C0"/>
    <w:rsid w:val="002C7C12"/>
    <w:rsid w:val="002D5A38"/>
    <w:rsid w:val="002D76FA"/>
    <w:rsid w:val="002E5172"/>
    <w:rsid w:val="002E5C9D"/>
    <w:rsid w:val="002F4A3C"/>
    <w:rsid w:val="002F61C2"/>
    <w:rsid w:val="002F7738"/>
    <w:rsid w:val="00303850"/>
    <w:rsid w:val="0030681C"/>
    <w:rsid w:val="003079A0"/>
    <w:rsid w:val="00310E8D"/>
    <w:rsid w:val="003142DF"/>
    <w:rsid w:val="00322D60"/>
    <w:rsid w:val="0032746B"/>
    <w:rsid w:val="003461CC"/>
    <w:rsid w:val="00346DF0"/>
    <w:rsid w:val="00347850"/>
    <w:rsid w:val="003932A1"/>
    <w:rsid w:val="003A62AD"/>
    <w:rsid w:val="003B2676"/>
    <w:rsid w:val="003B46E5"/>
    <w:rsid w:val="003C0827"/>
    <w:rsid w:val="003C53D3"/>
    <w:rsid w:val="003C7602"/>
    <w:rsid w:val="003D4802"/>
    <w:rsid w:val="003E0993"/>
    <w:rsid w:val="003E2FFA"/>
    <w:rsid w:val="003E55E2"/>
    <w:rsid w:val="003F1A01"/>
    <w:rsid w:val="003F456D"/>
    <w:rsid w:val="003F7C24"/>
    <w:rsid w:val="004024A9"/>
    <w:rsid w:val="00402C17"/>
    <w:rsid w:val="004046D9"/>
    <w:rsid w:val="004053DC"/>
    <w:rsid w:val="00415021"/>
    <w:rsid w:val="0043389B"/>
    <w:rsid w:val="004361B0"/>
    <w:rsid w:val="00450D2E"/>
    <w:rsid w:val="00462762"/>
    <w:rsid w:val="00481E67"/>
    <w:rsid w:val="00484931"/>
    <w:rsid w:val="004916C1"/>
    <w:rsid w:val="00491929"/>
    <w:rsid w:val="00496A29"/>
    <w:rsid w:val="004B78EF"/>
    <w:rsid w:val="004C441B"/>
    <w:rsid w:val="004C7DAD"/>
    <w:rsid w:val="004E5C29"/>
    <w:rsid w:val="004E5E41"/>
    <w:rsid w:val="004F3A4F"/>
    <w:rsid w:val="004F7BF4"/>
    <w:rsid w:val="00520E55"/>
    <w:rsid w:val="005301A2"/>
    <w:rsid w:val="005310C2"/>
    <w:rsid w:val="00542471"/>
    <w:rsid w:val="00543DA0"/>
    <w:rsid w:val="00556F25"/>
    <w:rsid w:val="005706E5"/>
    <w:rsid w:val="005A2471"/>
    <w:rsid w:val="005B1509"/>
    <w:rsid w:val="005B2341"/>
    <w:rsid w:val="005B2A79"/>
    <w:rsid w:val="005B763D"/>
    <w:rsid w:val="005C023B"/>
    <w:rsid w:val="005C1933"/>
    <w:rsid w:val="005C21D1"/>
    <w:rsid w:val="005D6C44"/>
    <w:rsid w:val="005E2E4B"/>
    <w:rsid w:val="005E70EB"/>
    <w:rsid w:val="005F74ED"/>
    <w:rsid w:val="0060127C"/>
    <w:rsid w:val="00605CE7"/>
    <w:rsid w:val="0061647A"/>
    <w:rsid w:val="0062148D"/>
    <w:rsid w:val="00625525"/>
    <w:rsid w:val="0063053F"/>
    <w:rsid w:val="00630C8D"/>
    <w:rsid w:val="00670A90"/>
    <w:rsid w:val="00676322"/>
    <w:rsid w:val="006800EC"/>
    <w:rsid w:val="00683302"/>
    <w:rsid w:val="00684314"/>
    <w:rsid w:val="00691FD7"/>
    <w:rsid w:val="00697926"/>
    <w:rsid w:val="006B73E4"/>
    <w:rsid w:val="006D603F"/>
    <w:rsid w:val="006E6140"/>
    <w:rsid w:val="006E63EF"/>
    <w:rsid w:val="0070377A"/>
    <w:rsid w:val="00704E29"/>
    <w:rsid w:val="00712F38"/>
    <w:rsid w:val="00713722"/>
    <w:rsid w:val="00743985"/>
    <w:rsid w:val="00750155"/>
    <w:rsid w:val="007525BD"/>
    <w:rsid w:val="0075442B"/>
    <w:rsid w:val="0078028B"/>
    <w:rsid w:val="00783EED"/>
    <w:rsid w:val="00784D62"/>
    <w:rsid w:val="007C0F41"/>
    <w:rsid w:val="007C2F71"/>
    <w:rsid w:val="007C4B3B"/>
    <w:rsid w:val="007D1EB7"/>
    <w:rsid w:val="007D4169"/>
    <w:rsid w:val="007F73E4"/>
    <w:rsid w:val="00816A12"/>
    <w:rsid w:val="0082356F"/>
    <w:rsid w:val="008243E0"/>
    <w:rsid w:val="00834A5A"/>
    <w:rsid w:val="00843043"/>
    <w:rsid w:val="0085016B"/>
    <w:rsid w:val="00855592"/>
    <w:rsid w:val="00857ED6"/>
    <w:rsid w:val="00865487"/>
    <w:rsid w:val="00871D92"/>
    <w:rsid w:val="008813D4"/>
    <w:rsid w:val="008960AF"/>
    <w:rsid w:val="008A46DB"/>
    <w:rsid w:val="008B70E1"/>
    <w:rsid w:val="008C14D3"/>
    <w:rsid w:val="008C2F2E"/>
    <w:rsid w:val="008F3B8D"/>
    <w:rsid w:val="00904D1E"/>
    <w:rsid w:val="0090607D"/>
    <w:rsid w:val="00937B5E"/>
    <w:rsid w:val="00946156"/>
    <w:rsid w:val="009579BC"/>
    <w:rsid w:val="00961B24"/>
    <w:rsid w:val="00965D60"/>
    <w:rsid w:val="009703F6"/>
    <w:rsid w:val="0098391F"/>
    <w:rsid w:val="00983AFD"/>
    <w:rsid w:val="00985A8A"/>
    <w:rsid w:val="00992B1F"/>
    <w:rsid w:val="009936A9"/>
    <w:rsid w:val="009A62E9"/>
    <w:rsid w:val="009C088F"/>
    <w:rsid w:val="009E05A9"/>
    <w:rsid w:val="00A27702"/>
    <w:rsid w:val="00A3022F"/>
    <w:rsid w:val="00A31541"/>
    <w:rsid w:val="00A34BAE"/>
    <w:rsid w:val="00A438E5"/>
    <w:rsid w:val="00A83BDC"/>
    <w:rsid w:val="00AC2E55"/>
    <w:rsid w:val="00AD07CB"/>
    <w:rsid w:val="00AD6477"/>
    <w:rsid w:val="00AE6928"/>
    <w:rsid w:val="00AF2348"/>
    <w:rsid w:val="00AF3050"/>
    <w:rsid w:val="00B00553"/>
    <w:rsid w:val="00B12831"/>
    <w:rsid w:val="00B31A4B"/>
    <w:rsid w:val="00B40176"/>
    <w:rsid w:val="00B41492"/>
    <w:rsid w:val="00B4171F"/>
    <w:rsid w:val="00B426BF"/>
    <w:rsid w:val="00B42EC1"/>
    <w:rsid w:val="00B53D8F"/>
    <w:rsid w:val="00B548D4"/>
    <w:rsid w:val="00B64B52"/>
    <w:rsid w:val="00B674E8"/>
    <w:rsid w:val="00B77BA7"/>
    <w:rsid w:val="00B9212B"/>
    <w:rsid w:val="00BA55F7"/>
    <w:rsid w:val="00BB4AF8"/>
    <w:rsid w:val="00BD1062"/>
    <w:rsid w:val="00BD4C9A"/>
    <w:rsid w:val="00BF5176"/>
    <w:rsid w:val="00C16120"/>
    <w:rsid w:val="00C1683B"/>
    <w:rsid w:val="00C16E8C"/>
    <w:rsid w:val="00C175C7"/>
    <w:rsid w:val="00C31DDA"/>
    <w:rsid w:val="00C31F60"/>
    <w:rsid w:val="00C52134"/>
    <w:rsid w:val="00C52457"/>
    <w:rsid w:val="00C532E5"/>
    <w:rsid w:val="00C5776A"/>
    <w:rsid w:val="00C71BA4"/>
    <w:rsid w:val="00C855E7"/>
    <w:rsid w:val="00CA1C80"/>
    <w:rsid w:val="00CA3D49"/>
    <w:rsid w:val="00CA46CA"/>
    <w:rsid w:val="00CA634B"/>
    <w:rsid w:val="00CB30B8"/>
    <w:rsid w:val="00CC49DB"/>
    <w:rsid w:val="00CD0BF2"/>
    <w:rsid w:val="00CD2E99"/>
    <w:rsid w:val="00CE4BD8"/>
    <w:rsid w:val="00CF499F"/>
    <w:rsid w:val="00CF5B2C"/>
    <w:rsid w:val="00CF6C9D"/>
    <w:rsid w:val="00D107C0"/>
    <w:rsid w:val="00D21DD0"/>
    <w:rsid w:val="00D23326"/>
    <w:rsid w:val="00D3555F"/>
    <w:rsid w:val="00D3671B"/>
    <w:rsid w:val="00D46BE2"/>
    <w:rsid w:val="00D56502"/>
    <w:rsid w:val="00D63AD7"/>
    <w:rsid w:val="00D70AF0"/>
    <w:rsid w:val="00D85F5A"/>
    <w:rsid w:val="00D92917"/>
    <w:rsid w:val="00D94491"/>
    <w:rsid w:val="00D94CCC"/>
    <w:rsid w:val="00D9603E"/>
    <w:rsid w:val="00DA50B0"/>
    <w:rsid w:val="00DB14E6"/>
    <w:rsid w:val="00DB6AA0"/>
    <w:rsid w:val="00DC3569"/>
    <w:rsid w:val="00DD28F2"/>
    <w:rsid w:val="00DD52A4"/>
    <w:rsid w:val="00DE2789"/>
    <w:rsid w:val="00E02725"/>
    <w:rsid w:val="00E127A5"/>
    <w:rsid w:val="00E30D6D"/>
    <w:rsid w:val="00E411F7"/>
    <w:rsid w:val="00E542C8"/>
    <w:rsid w:val="00E646E9"/>
    <w:rsid w:val="00E6597A"/>
    <w:rsid w:val="00E81E84"/>
    <w:rsid w:val="00E85A99"/>
    <w:rsid w:val="00EA6EFB"/>
    <w:rsid w:val="00EB22E6"/>
    <w:rsid w:val="00ED0C4E"/>
    <w:rsid w:val="00ED299B"/>
    <w:rsid w:val="00ED6E43"/>
    <w:rsid w:val="00EF40F3"/>
    <w:rsid w:val="00F00000"/>
    <w:rsid w:val="00F20711"/>
    <w:rsid w:val="00F307F4"/>
    <w:rsid w:val="00F44C0A"/>
    <w:rsid w:val="00F50EED"/>
    <w:rsid w:val="00F60A13"/>
    <w:rsid w:val="00F65E5C"/>
    <w:rsid w:val="00F8293F"/>
    <w:rsid w:val="00F86226"/>
    <w:rsid w:val="00F962A1"/>
    <w:rsid w:val="00FA0273"/>
    <w:rsid w:val="00FB201F"/>
    <w:rsid w:val="00FC2871"/>
    <w:rsid w:val="00FE22FB"/>
    <w:rsid w:val="013B325F"/>
    <w:rsid w:val="0144192B"/>
    <w:rsid w:val="01A40F26"/>
    <w:rsid w:val="02A940FA"/>
    <w:rsid w:val="031A5A31"/>
    <w:rsid w:val="04A56162"/>
    <w:rsid w:val="05322934"/>
    <w:rsid w:val="05E73C37"/>
    <w:rsid w:val="067A655A"/>
    <w:rsid w:val="06A22B65"/>
    <w:rsid w:val="06D33665"/>
    <w:rsid w:val="08317851"/>
    <w:rsid w:val="08885831"/>
    <w:rsid w:val="08E47648"/>
    <w:rsid w:val="08E74369"/>
    <w:rsid w:val="091D17A5"/>
    <w:rsid w:val="0A6E6AD5"/>
    <w:rsid w:val="0AFE5047"/>
    <w:rsid w:val="0C6A7D07"/>
    <w:rsid w:val="0CA551E4"/>
    <w:rsid w:val="0D3E014E"/>
    <w:rsid w:val="0E653E72"/>
    <w:rsid w:val="0EAA20A4"/>
    <w:rsid w:val="0F2E3C6E"/>
    <w:rsid w:val="0FF8293A"/>
    <w:rsid w:val="11075703"/>
    <w:rsid w:val="11193E5B"/>
    <w:rsid w:val="1301319F"/>
    <w:rsid w:val="13B9405D"/>
    <w:rsid w:val="14226D33"/>
    <w:rsid w:val="148D3DA0"/>
    <w:rsid w:val="149060F5"/>
    <w:rsid w:val="152F0772"/>
    <w:rsid w:val="15314D54"/>
    <w:rsid w:val="15777CAA"/>
    <w:rsid w:val="15A03DD4"/>
    <w:rsid w:val="15D13671"/>
    <w:rsid w:val="16896F8A"/>
    <w:rsid w:val="16EB3B63"/>
    <w:rsid w:val="1720300E"/>
    <w:rsid w:val="17363C87"/>
    <w:rsid w:val="17533592"/>
    <w:rsid w:val="17774BAB"/>
    <w:rsid w:val="181202CB"/>
    <w:rsid w:val="181459BE"/>
    <w:rsid w:val="18DC4807"/>
    <w:rsid w:val="197D310B"/>
    <w:rsid w:val="19C1540C"/>
    <w:rsid w:val="1A2204E4"/>
    <w:rsid w:val="1A7A42D7"/>
    <w:rsid w:val="1AA404EC"/>
    <w:rsid w:val="1AB119B5"/>
    <w:rsid w:val="1CD15FCC"/>
    <w:rsid w:val="1DCB5717"/>
    <w:rsid w:val="1E117691"/>
    <w:rsid w:val="1E8F7EE4"/>
    <w:rsid w:val="1F757C22"/>
    <w:rsid w:val="2056524E"/>
    <w:rsid w:val="20FF3282"/>
    <w:rsid w:val="230F0754"/>
    <w:rsid w:val="231A4C7B"/>
    <w:rsid w:val="2328379E"/>
    <w:rsid w:val="238A462E"/>
    <w:rsid w:val="23E613EA"/>
    <w:rsid w:val="24041DEF"/>
    <w:rsid w:val="241F446B"/>
    <w:rsid w:val="243C0992"/>
    <w:rsid w:val="248666E9"/>
    <w:rsid w:val="256C7DE0"/>
    <w:rsid w:val="26141B18"/>
    <w:rsid w:val="263D1F8A"/>
    <w:rsid w:val="27380606"/>
    <w:rsid w:val="274C04B7"/>
    <w:rsid w:val="278B190D"/>
    <w:rsid w:val="27E16666"/>
    <w:rsid w:val="27F3436D"/>
    <w:rsid w:val="281C267A"/>
    <w:rsid w:val="282C791E"/>
    <w:rsid w:val="2A1437BB"/>
    <w:rsid w:val="2AE93368"/>
    <w:rsid w:val="2B5F6741"/>
    <w:rsid w:val="2C54572B"/>
    <w:rsid w:val="2C606B70"/>
    <w:rsid w:val="2C6E758E"/>
    <w:rsid w:val="2C7101EE"/>
    <w:rsid w:val="2C7F39FA"/>
    <w:rsid w:val="2CE81E98"/>
    <w:rsid w:val="2D103F1C"/>
    <w:rsid w:val="2D321162"/>
    <w:rsid w:val="2E5907D4"/>
    <w:rsid w:val="2EFE64EA"/>
    <w:rsid w:val="2F2176E9"/>
    <w:rsid w:val="2F5222F9"/>
    <w:rsid w:val="301D4509"/>
    <w:rsid w:val="307204CD"/>
    <w:rsid w:val="30B6320F"/>
    <w:rsid w:val="32344A7B"/>
    <w:rsid w:val="3460294E"/>
    <w:rsid w:val="3560303E"/>
    <w:rsid w:val="35676EED"/>
    <w:rsid w:val="35AD08FF"/>
    <w:rsid w:val="35DC6C28"/>
    <w:rsid w:val="360E7E4B"/>
    <w:rsid w:val="36EC7199"/>
    <w:rsid w:val="36FF7844"/>
    <w:rsid w:val="38E40C93"/>
    <w:rsid w:val="393074C1"/>
    <w:rsid w:val="393B1194"/>
    <w:rsid w:val="3AA047AE"/>
    <w:rsid w:val="3ADC19CC"/>
    <w:rsid w:val="3BEE148F"/>
    <w:rsid w:val="3CD155F0"/>
    <w:rsid w:val="3D6208E4"/>
    <w:rsid w:val="3D661F25"/>
    <w:rsid w:val="3D982BD2"/>
    <w:rsid w:val="3DBB1042"/>
    <w:rsid w:val="3E043671"/>
    <w:rsid w:val="3E1779FC"/>
    <w:rsid w:val="3E894F07"/>
    <w:rsid w:val="3F355E77"/>
    <w:rsid w:val="3F9D2F2C"/>
    <w:rsid w:val="4053335B"/>
    <w:rsid w:val="407F161B"/>
    <w:rsid w:val="409E5ACA"/>
    <w:rsid w:val="40AB3D92"/>
    <w:rsid w:val="41AD27F0"/>
    <w:rsid w:val="42EA799F"/>
    <w:rsid w:val="43270F82"/>
    <w:rsid w:val="43AF59F6"/>
    <w:rsid w:val="43B7576D"/>
    <w:rsid w:val="44534655"/>
    <w:rsid w:val="45EF4BAA"/>
    <w:rsid w:val="45FB6311"/>
    <w:rsid w:val="461D327B"/>
    <w:rsid w:val="464171E3"/>
    <w:rsid w:val="464B5C73"/>
    <w:rsid w:val="46825354"/>
    <w:rsid w:val="47716727"/>
    <w:rsid w:val="47A609DB"/>
    <w:rsid w:val="47DB0B52"/>
    <w:rsid w:val="489A2A26"/>
    <w:rsid w:val="492B39FA"/>
    <w:rsid w:val="4B263295"/>
    <w:rsid w:val="4B323F6B"/>
    <w:rsid w:val="4BEA39C8"/>
    <w:rsid w:val="4C5B512A"/>
    <w:rsid w:val="4D3A0943"/>
    <w:rsid w:val="4D3F5FA3"/>
    <w:rsid w:val="4D670B16"/>
    <w:rsid w:val="4F132029"/>
    <w:rsid w:val="4FA70D74"/>
    <w:rsid w:val="4FBD2AE4"/>
    <w:rsid w:val="506255A4"/>
    <w:rsid w:val="5161592F"/>
    <w:rsid w:val="51A93888"/>
    <w:rsid w:val="51AB3A83"/>
    <w:rsid w:val="51B90863"/>
    <w:rsid w:val="53093CC7"/>
    <w:rsid w:val="532509DC"/>
    <w:rsid w:val="567A2601"/>
    <w:rsid w:val="575A120E"/>
    <w:rsid w:val="57B53BC7"/>
    <w:rsid w:val="58F2262F"/>
    <w:rsid w:val="58F809FF"/>
    <w:rsid w:val="590F2EBF"/>
    <w:rsid w:val="59144A48"/>
    <w:rsid w:val="592E2EB9"/>
    <w:rsid w:val="59821057"/>
    <w:rsid w:val="59C17315"/>
    <w:rsid w:val="59C22223"/>
    <w:rsid w:val="59D039A4"/>
    <w:rsid w:val="5A2A7E57"/>
    <w:rsid w:val="5A8F33A5"/>
    <w:rsid w:val="5BA801AA"/>
    <w:rsid w:val="5BC00716"/>
    <w:rsid w:val="5BF22325"/>
    <w:rsid w:val="5C0C7439"/>
    <w:rsid w:val="5D69698A"/>
    <w:rsid w:val="5E170ABE"/>
    <w:rsid w:val="5ED24C49"/>
    <w:rsid w:val="5EE576E2"/>
    <w:rsid w:val="5FC10AE3"/>
    <w:rsid w:val="613706EF"/>
    <w:rsid w:val="617D2278"/>
    <w:rsid w:val="6200370A"/>
    <w:rsid w:val="62197AEE"/>
    <w:rsid w:val="627F281F"/>
    <w:rsid w:val="62CF6AD6"/>
    <w:rsid w:val="636F4AC0"/>
    <w:rsid w:val="639F2DE9"/>
    <w:rsid w:val="64161A0F"/>
    <w:rsid w:val="64250C30"/>
    <w:rsid w:val="64A622AF"/>
    <w:rsid w:val="656205D0"/>
    <w:rsid w:val="65BC6B1F"/>
    <w:rsid w:val="660F5973"/>
    <w:rsid w:val="670D75D4"/>
    <w:rsid w:val="674A3327"/>
    <w:rsid w:val="68F17E74"/>
    <w:rsid w:val="69215100"/>
    <w:rsid w:val="69614E62"/>
    <w:rsid w:val="69720528"/>
    <w:rsid w:val="697B0A84"/>
    <w:rsid w:val="69840CEE"/>
    <w:rsid w:val="6A1C64EF"/>
    <w:rsid w:val="6A661D0F"/>
    <w:rsid w:val="6B5F7D58"/>
    <w:rsid w:val="6B8C1FAC"/>
    <w:rsid w:val="6BA57A77"/>
    <w:rsid w:val="6CCC3ECD"/>
    <w:rsid w:val="6CE10C86"/>
    <w:rsid w:val="6D1A042C"/>
    <w:rsid w:val="6DD75E1F"/>
    <w:rsid w:val="6E6F0A5F"/>
    <w:rsid w:val="6EB118D7"/>
    <w:rsid w:val="6F4B2DDB"/>
    <w:rsid w:val="6FC84A78"/>
    <w:rsid w:val="6FE55DBB"/>
    <w:rsid w:val="7172431B"/>
    <w:rsid w:val="7173443C"/>
    <w:rsid w:val="71B32DF0"/>
    <w:rsid w:val="727F71D7"/>
    <w:rsid w:val="73074AEF"/>
    <w:rsid w:val="74992A69"/>
    <w:rsid w:val="75ED2F54"/>
    <w:rsid w:val="75EF395C"/>
    <w:rsid w:val="76474B0B"/>
    <w:rsid w:val="76955505"/>
    <w:rsid w:val="76AC0C99"/>
    <w:rsid w:val="7754314F"/>
    <w:rsid w:val="783213E5"/>
    <w:rsid w:val="789C40B5"/>
    <w:rsid w:val="7AFC1A9F"/>
    <w:rsid w:val="7AFE0781"/>
    <w:rsid w:val="7B267F0B"/>
    <w:rsid w:val="7B47166C"/>
    <w:rsid w:val="7B86032E"/>
    <w:rsid w:val="7BA97EE3"/>
    <w:rsid w:val="7BCF30C8"/>
    <w:rsid w:val="7BE26C83"/>
    <w:rsid w:val="7E033098"/>
    <w:rsid w:val="7F0D69DA"/>
    <w:rsid w:val="7F1C69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cs="黑体"/>
      <w:szCs w:val="21"/>
    </w:rPr>
  </w:style>
  <w:style w:type="paragraph" w:styleId="4">
    <w:name w:val="Body Text Indent 2"/>
    <w:basedOn w:val="1"/>
    <w:qFormat/>
    <w:uiPriority w:val="0"/>
    <w:pPr>
      <w:spacing w:line="360" w:lineRule="atLeast"/>
      <w:ind w:firstLine="560" w:firstLineChars="200"/>
    </w:pPr>
    <w:rPr>
      <w:kern w:val="24"/>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pPr>
    <w:rPr>
      <w:rFonts w:ascii="等线" w:hAnsi="等线" w:eastAsia="等线"/>
      <w:sz w:val="22"/>
      <w:szCs w:val="22"/>
    </w:rPr>
  </w:style>
  <w:style w:type="paragraph" w:styleId="9">
    <w:name w:val="Normal (Web)"/>
    <w:basedOn w:val="1"/>
    <w:qFormat/>
    <w:uiPriority w:val="0"/>
    <w:pPr>
      <w:spacing w:before="100" w:beforeAutospacing="1" w:after="100" w:afterAutospacing="1"/>
      <w:jc w:val="left"/>
    </w:pPr>
    <w:rPr>
      <w:kern w:val="0"/>
      <w:sz w:val="24"/>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paragraph" w:customStyle="1" w:styleId="14">
    <w:name w:val="列出段落1"/>
    <w:basedOn w:val="1"/>
    <w:qFormat/>
    <w:uiPriority w:val="0"/>
    <w:pPr>
      <w:ind w:firstLine="420" w:firstLineChars="200"/>
    </w:pPr>
    <w:rPr>
      <w:rFonts w:ascii="Calibri" w:hAnsi="Calibri"/>
      <w:szCs w:val="22"/>
    </w:rPr>
  </w:style>
  <w:style w:type="paragraph" w:customStyle="1" w:styleId="15">
    <w:name w:val="标题2级"/>
    <w:basedOn w:val="1"/>
    <w:qFormat/>
    <w:uiPriority w:val="0"/>
    <w:pPr>
      <w:widowControl/>
      <w:spacing w:beforeLines="100" w:afterLines="100"/>
      <w:ind w:left="1276" w:hanging="1276"/>
      <w:textAlignment w:val="bottom"/>
      <w:outlineLvl w:val="1"/>
    </w:pPr>
    <w:rPr>
      <w:rFonts w:ascii="宋体" w:hAnsi="宋体"/>
      <w:sz w:val="22"/>
      <w:szCs w:val="22"/>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2</Pages>
  <Words>1273</Words>
  <Characters>1333</Characters>
  <Lines>16</Lines>
  <Paragraphs>4</Paragraphs>
  <TotalTime>12</TotalTime>
  <ScaleCrop>false</ScaleCrop>
  <LinksUpToDate>false</LinksUpToDate>
  <CharactersWithSpaces>1348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2020-08-14T03:02:00Z</dcterms:created>
  <dc:creator>smw</dc:creator>
  <cp:lastModifiedBy>平凡之路Hyf</cp:lastModifiedBy>
  <cp:lastPrinted>2011-07-05T02:03:00Z</cp:lastPrinted>
  <dcterms:modified xsi:type="dcterms:W3CDTF">2026-02-06T00:39:13Z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eyJoZGlkIjoiMTFlZmYwYmQ0MjFmZjczMGEyZWEyZDU1Y2Y5NDExYjQiLCJ1c2VySWQiOiI3NTE1MjUxNDgifQ==</vt:lpwstr>
  </property>
  <property fmtid="{D5CDD505-2E9C-101B-9397-08002B2CF9AE}" pid="4" name="ICV">
    <vt:lpwstr>E4F185390E5E4B4487ECF2E6313873A9_12</vt:lpwstr>
  </property>
</Properties>
</file>