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AF285">
      <w:pPr>
        <w:pStyle w:val="48"/>
        <w:widowControl/>
        <w:jc w:val="center"/>
        <w:rPr>
          <w:rFonts w:hint="eastAsia" w:ascii="黑体" w:hAnsi="黑体" w:eastAsia="黑体"/>
          <w:b/>
          <w:bCs/>
          <w:kern w:val="0"/>
          <w:sz w:val="32"/>
          <w:szCs w:val="32"/>
          <w:lang w:val="en-US" w:eastAsia="zh-CN"/>
        </w:rPr>
      </w:pPr>
    </w:p>
    <w:p w14:paraId="39FD62D6">
      <w:pPr>
        <w:pStyle w:val="48"/>
        <w:widowControl/>
        <w:jc w:val="center"/>
        <w:rPr>
          <w:rFonts w:hint="eastAsia" w:ascii="黑体" w:hAnsi="黑体" w:eastAsia="黑体"/>
          <w:b/>
          <w:bCs/>
          <w:kern w:val="0"/>
          <w:sz w:val="32"/>
          <w:szCs w:val="32"/>
          <w:lang w:val="en-US" w:eastAsia="zh-CN"/>
        </w:rPr>
      </w:pPr>
      <w:r>
        <w:rPr>
          <w:rFonts w:hint="eastAsia" w:ascii="黑体" w:hAnsi="黑体" w:eastAsia="黑体"/>
          <w:b/>
          <w:bCs/>
          <w:kern w:val="0"/>
          <w:sz w:val="32"/>
          <w:szCs w:val="32"/>
          <w:lang w:val="en-US" w:eastAsia="zh-CN"/>
        </w:rPr>
        <w:t>招标控制价编制说明</w:t>
      </w:r>
    </w:p>
    <w:p w14:paraId="09972A8D">
      <w:pPr>
        <w:pStyle w:val="48"/>
        <w:widowControl/>
        <w:jc w:val="center"/>
        <w:rPr>
          <w:rFonts w:hint="eastAsia" w:ascii="黑体" w:hAnsi="黑体" w:eastAsia="黑体"/>
          <w:b/>
          <w:bCs/>
          <w:kern w:val="0"/>
          <w:sz w:val="32"/>
          <w:szCs w:val="32"/>
          <w:lang w:val="en-US" w:eastAsia="zh-CN"/>
        </w:rPr>
      </w:pPr>
    </w:p>
    <w:p w14:paraId="6A002845">
      <w:pPr>
        <w:numPr>
          <w:ilvl w:val="0"/>
          <w:numId w:val="1"/>
        </w:numPr>
        <w:tabs>
          <w:tab w:val="left" w:pos="1080"/>
          <w:tab w:val="left" w:pos="9180"/>
          <w:tab w:val="left" w:pos="9360"/>
        </w:tabs>
        <w:spacing w:line="360" w:lineRule="auto"/>
        <w:outlineLvl w:val="0"/>
        <w:rPr>
          <w:b/>
        </w:rPr>
      </w:pPr>
      <w:r>
        <w:rPr>
          <w:rFonts w:hint="eastAsia"/>
          <w:b/>
        </w:rPr>
        <w:t>项目概况</w:t>
      </w:r>
    </w:p>
    <w:p w14:paraId="0F173F63">
      <w:pPr>
        <w:pStyle w:val="48"/>
        <w:widowControl/>
        <w:numPr>
          <w:ilvl w:val="0"/>
          <w:numId w:val="2"/>
        </w:numPr>
        <w:spacing w:line="500" w:lineRule="exact"/>
        <w:ind w:firstLine="480" w:firstLineChars="200"/>
        <w:rPr>
          <w:rFonts w:hint="default" w:ascii="宋体" w:hAnsi="宋体" w:eastAsia="宋体"/>
          <w:kern w:val="0"/>
          <w:sz w:val="24"/>
          <w:szCs w:val="24"/>
          <w:lang w:val="en-US" w:eastAsia="zh-CN"/>
        </w:rPr>
      </w:pPr>
      <w:r>
        <w:rPr>
          <w:rFonts w:hint="eastAsia" w:ascii="宋体" w:hAnsi="宋体"/>
          <w:kern w:val="0"/>
          <w:sz w:val="24"/>
          <w:szCs w:val="24"/>
        </w:rPr>
        <w:t>工程地点：杭州市桐庐县广丰路以北尹家路以东,站前路以南,站东路以西</w:t>
      </w:r>
      <w:r>
        <w:rPr>
          <w:rFonts w:hint="eastAsia" w:ascii="宋体" w:hAnsi="宋体"/>
          <w:kern w:val="0"/>
          <w:sz w:val="24"/>
          <w:szCs w:val="24"/>
          <w:lang w:val="en-US" w:eastAsia="zh-CN"/>
        </w:rPr>
        <w:t>；</w:t>
      </w:r>
    </w:p>
    <w:p w14:paraId="4D75080D">
      <w:pPr>
        <w:pStyle w:val="48"/>
        <w:widowControl/>
        <w:spacing w:line="500" w:lineRule="exact"/>
        <w:ind w:firstLine="480" w:firstLineChars="200"/>
        <w:rPr>
          <w:rFonts w:hint="default" w:ascii="宋体" w:hAnsi="宋体" w:eastAsia="宋体"/>
          <w:kern w:val="0"/>
          <w:sz w:val="24"/>
          <w:szCs w:val="24"/>
          <w:lang w:val="en-US" w:eastAsia="zh-CN"/>
        </w:rPr>
      </w:pPr>
      <w:r>
        <w:rPr>
          <w:rFonts w:hint="eastAsia" w:ascii="宋体" w:hAnsi="宋体"/>
          <w:kern w:val="0"/>
          <w:sz w:val="24"/>
          <w:szCs w:val="24"/>
        </w:rPr>
        <w:t>2. 工程概况：</w:t>
      </w:r>
      <w:r>
        <w:rPr>
          <w:rFonts w:hint="eastAsia" w:ascii="宋体" w:hAnsi="宋体"/>
          <w:kern w:val="0"/>
          <w:sz w:val="24"/>
          <w:szCs w:val="24"/>
          <w:lang w:val="en-US" w:eastAsia="zh-CN"/>
        </w:rPr>
        <w:t>建设工程装修面积</w:t>
      </w:r>
      <w:bookmarkStart w:id="0" w:name="_GoBack"/>
      <w:bookmarkEnd w:id="0"/>
      <w:r>
        <w:rPr>
          <w:rFonts w:hint="eastAsia" w:ascii="宋体" w:hAnsi="宋体"/>
          <w:color w:val="0000FF"/>
          <w:kern w:val="0"/>
          <w:sz w:val="24"/>
          <w:szCs w:val="24"/>
          <w:lang w:val="en-US" w:eastAsia="zh-CN"/>
        </w:rPr>
        <w:t>为2483.20平方米；</w:t>
      </w:r>
    </w:p>
    <w:p w14:paraId="48D42348">
      <w:pPr>
        <w:pStyle w:val="48"/>
        <w:widowControl/>
        <w:spacing w:line="500" w:lineRule="exact"/>
        <w:ind w:firstLine="480" w:firstLineChars="200"/>
        <w:rPr>
          <w:rFonts w:hint="default" w:ascii="宋体" w:hAnsi="宋体" w:eastAsia="宋体"/>
          <w:kern w:val="0"/>
          <w:sz w:val="24"/>
          <w:szCs w:val="24"/>
          <w:lang w:val="en-US" w:eastAsia="zh-CN"/>
        </w:rPr>
      </w:pPr>
      <w:r>
        <w:rPr>
          <w:rFonts w:hint="eastAsia" w:ascii="宋体" w:hAnsi="宋体"/>
          <w:kern w:val="0"/>
          <w:sz w:val="24"/>
          <w:szCs w:val="24"/>
        </w:rPr>
        <w:t>3. 工程范围：</w:t>
      </w:r>
      <w:r>
        <w:rPr>
          <w:rFonts w:hint="eastAsia" w:ascii="宋体" w:hAnsi="宋体"/>
          <w:kern w:val="0"/>
          <w:sz w:val="24"/>
          <w:szCs w:val="24"/>
          <w:lang w:val="en-US" w:eastAsia="zh-CN"/>
        </w:rPr>
        <w:t>桐庐综合客运枢纽提升改造工程项目（十~十一）层的室内装修设计，施工内容包含室内装饰工程、智能化工程、暖通工程、电气工程、消防工程、给排水工程等。</w:t>
      </w:r>
    </w:p>
    <w:p w14:paraId="0D650A69">
      <w:pPr>
        <w:pStyle w:val="48"/>
        <w:widowControl/>
        <w:spacing w:line="500" w:lineRule="exact"/>
        <w:ind w:firstLine="480" w:firstLineChars="200"/>
        <w:rPr>
          <w:rFonts w:hint="eastAsia" w:ascii="宋体" w:hAnsi="宋体"/>
          <w:kern w:val="0"/>
          <w:sz w:val="24"/>
          <w:szCs w:val="24"/>
        </w:rPr>
      </w:pPr>
    </w:p>
    <w:p w14:paraId="3D1F51CF">
      <w:pPr>
        <w:numPr>
          <w:ilvl w:val="0"/>
          <w:numId w:val="1"/>
        </w:numPr>
        <w:tabs>
          <w:tab w:val="left" w:pos="1080"/>
          <w:tab w:val="left" w:pos="9180"/>
          <w:tab w:val="left" w:pos="9360"/>
        </w:tabs>
        <w:spacing w:line="360" w:lineRule="auto"/>
        <w:outlineLvl w:val="0"/>
        <w:rPr>
          <w:b/>
        </w:rPr>
      </w:pPr>
      <w:r>
        <w:rPr>
          <w:rFonts w:hint="eastAsia"/>
          <w:b/>
        </w:rPr>
        <w:t>编制依据</w:t>
      </w:r>
    </w:p>
    <w:p w14:paraId="0737F165">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1.《建设工程工程量清单计价规范》GB 50500-2013；</w:t>
      </w:r>
    </w:p>
    <w:p w14:paraId="1F1D5515">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2.《浙江省建设工程工程计价规则》（2018版）；</w:t>
      </w:r>
    </w:p>
    <w:p w14:paraId="101D8930">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3.《浙江省房屋建筑与装饰工程预算定额》（2018版）、《浙江省通用安装工程预算定额》（2018版）、《浙江省市政工程预算定额》（2018版）、《浙江省建设工程施工机械台班费用定额》（2018版）；</w:t>
      </w:r>
    </w:p>
    <w:p w14:paraId="07D583FD">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4.浙江</w:t>
      </w:r>
      <w:r>
        <w:rPr>
          <w:rFonts w:hint="eastAsia" w:ascii="宋体" w:hAnsi="宋体"/>
          <w:kern w:val="0"/>
          <w:sz w:val="24"/>
          <w:szCs w:val="24"/>
          <w:lang w:val="en-US" w:eastAsia="zh-CN"/>
        </w:rPr>
        <w:t>迪通建筑规划设计</w:t>
      </w:r>
      <w:r>
        <w:rPr>
          <w:rFonts w:hint="eastAsia" w:ascii="宋体" w:hAnsi="宋体"/>
          <w:kern w:val="0"/>
          <w:sz w:val="24"/>
          <w:szCs w:val="24"/>
        </w:rPr>
        <w:t>有限公司绘制的施工图纸；</w:t>
      </w:r>
    </w:p>
    <w:p w14:paraId="4AB72C21">
      <w:pPr>
        <w:pStyle w:val="48"/>
        <w:widowControl/>
        <w:spacing w:line="500" w:lineRule="exact"/>
        <w:ind w:firstLine="480" w:firstLineChars="200"/>
        <w:rPr>
          <w:rFonts w:hint="default" w:ascii="宋体" w:hAnsi="宋体" w:eastAsia="宋体"/>
          <w:kern w:val="0"/>
          <w:sz w:val="24"/>
          <w:szCs w:val="24"/>
          <w:lang w:val="en-US" w:eastAsia="zh-CN"/>
        </w:rPr>
      </w:pPr>
      <w:r>
        <w:rPr>
          <w:rFonts w:hint="eastAsia" w:ascii="宋体" w:hAnsi="宋体"/>
          <w:kern w:val="0"/>
          <w:sz w:val="24"/>
          <w:szCs w:val="24"/>
          <w:lang w:val="en-US" w:eastAsia="zh-CN"/>
        </w:rPr>
        <w:t>5.由</w:t>
      </w:r>
      <w:r>
        <w:rPr>
          <w:rFonts w:hint="eastAsia" w:ascii="宋体" w:hAnsi="宋体" w:eastAsia="宋体" w:cs="Times New Roman"/>
          <w:kern w:val="0"/>
          <w:sz w:val="24"/>
          <w:szCs w:val="24"/>
          <w:lang w:val="en-US" w:eastAsia="zh-CN"/>
        </w:rPr>
        <w:t>杭州天恒投资建设管理有限公司出具的桐庐综合客运枢纽室内办公装修项目(十、十一层)工程预算的审核报告书；</w:t>
      </w:r>
    </w:p>
    <w:p w14:paraId="15279C54">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6</w:t>
      </w:r>
      <w:r>
        <w:rPr>
          <w:rFonts w:hint="eastAsia" w:ascii="宋体" w:hAnsi="宋体"/>
          <w:kern w:val="0"/>
          <w:sz w:val="24"/>
          <w:szCs w:val="24"/>
        </w:rPr>
        <w:t>.《杭州造价信息》202</w:t>
      </w:r>
      <w:r>
        <w:rPr>
          <w:rFonts w:hint="eastAsia" w:ascii="宋体" w:hAnsi="宋体"/>
          <w:kern w:val="0"/>
          <w:sz w:val="24"/>
          <w:szCs w:val="24"/>
          <w:lang w:val="en-US" w:eastAsia="zh-CN"/>
        </w:rPr>
        <w:t>5</w:t>
      </w:r>
      <w:r>
        <w:rPr>
          <w:rFonts w:hint="eastAsia" w:ascii="宋体" w:hAnsi="宋体"/>
          <w:kern w:val="0"/>
          <w:sz w:val="24"/>
          <w:szCs w:val="24"/>
        </w:rPr>
        <w:t>年第</w:t>
      </w:r>
      <w:r>
        <w:rPr>
          <w:rFonts w:hint="eastAsia" w:ascii="宋体" w:hAnsi="宋体"/>
          <w:kern w:val="0"/>
          <w:sz w:val="24"/>
          <w:szCs w:val="24"/>
          <w:lang w:val="en-US" w:eastAsia="zh-CN"/>
        </w:rPr>
        <w:t>2</w:t>
      </w:r>
      <w:r>
        <w:rPr>
          <w:rFonts w:hint="eastAsia" w:ascii="宋体" w:hAnsi="宋体"/>
          <w:kern w:val="0"/>
          <w:sz w:val="24"/>
          <w:szCs w:val="24"/>
        </w:rPr>
        <w:t>期正刊、《浙江省造价信息》202</w:t>
      </w:r>
      <w:r>
        <w:rPr>
          <w:rFonts w:hint="eastAsia" w:ascii="宋体" w:hAnsi="宋体"/>
          <w:kern w:val="0"/>
          <w:sz w:val="24"/>
          <w:szCs w:val="24"/>
          <w:lang w:val="en-US" w:eastAsia="zh-CN"/>
        </w:rPr>
        <w:t>5</w:t>
      </w:r>
      <w:r>
        <w:rPr>
          <w:rFonts w:hint="eastAsia" w:ascii="宋体" w:hAnsi="宋体"/>
          <w:kern w:val="0"/>
          <w:sz w:val="24"/>
          <w:szCs w:val="24"/>
        </w:rPr>
        <w:t>年第</w:t>
      </w:r>
      <w:r>
        <w:rPr>
          <w:rFonts w:hint="eastAsia" w:ascii="宋体" w:hAnsi="宋体"/>
          <w:kern w:val="0"/>
          <w:sz w:val="24"/>
          <w:szCs w:val="24"/>
          <w:lang w:val="en-US" w:eastAsia="zh-CN"/>
        </w:rPr>
        <w:t>1</w:t>
      </w:r>
      <w:r>
        <w:rPr>
          <w:rFonts w:hint="eastAsia" w:ascii="宋体" w:hAnsi="宋体"/>
          <w:kern w:val="0"/>
          <w:sz w:val="24"/>
          <w:szCs w:val="24"/>
        </w:rPr>
        <w:t>期正刊，无信息价的材料价格按市场询价计入；</w:t>
      </w:r>
    </w:p>
    <w:p w14:paraId="7CCA672C">
      <w:pPr>
        <w:pStyle w:val="48"/>
        <w:widowControl/>
        <w:spacing w:line="500" w:lineRule="exact"/>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7.《关于明确杭州市建筑施工领域安全生产责任保险费用计取的通知》（杭建工发〔2021〕384号）；</w:t>
      </w:r>
    </w:p>
    <w:p w14:paraId="629C2581">
      <w:pPr>
        <w:pStyle w:val="48"/>
        <w:widowControl/>
        <w:spacing w:line="500" w:lineRule="exact"/>
        <w:ind w:firstLine="480" w:firstLineChars="200"/>
        <w:rPr>
          <w:rFonts w:hint="default" w:ascii="宋体" w:hAnsi="宋体"/>
          <w:kern w:val="0"/>
          <w:sz w:val="24"/>
          <w:szCs w:val="24"/>
          <w:lang w:val="en-US" w:eastAsia="zh-CN"/>
        </w:rPr>
      </w:pPr>
      <w:r>
        <w:rPr>
          <w:rFonts w:hint="eastAsia" w:ascii="宋体" w:hAnsi="宋体"/>
          <w:kern w:val="0"/>
          <w:sz w:val="24"/>
          <w:szCs w:val="24"/>
          <w:lang w:val="en-US" w:eastAsia="zh-CN"/>
        </w:rPr>
        <w:t>8.《省建设厅关于调整建筑工程安全文明施工费的通知》（浙建建发〔2022〕37号）；</w:t>
      </w:r>
    </w:p>
    <w:p w14:paraId="46538835">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9</w:t>
      </w:r>
      <w:r>
        <w:rPr>
          <w:rFonts w:hint="eastAsia" w:ascii="宋体" w:hAnsi="宋体"/>
          <w:kern w:val="0"/>
          <w:sz w:val="24"/>
          <w:szCs w:val="24"/>
        </w:rPr>
        <w:t>.相关解释、政策文件及法律法规等。</w:t>
      </w:r>
    </w:p>
    <w:p w14:paraId="7C890164">
      <w:pPr>
        <w:pStyle w:val="48"/>
        <w:widowControl/>
        <w:spacing w:line="500" w:lineRule="exact"/>
        <w:ind w:firstLine="480" w:firstLineChars="200"/>
        <w:rPr>
          <w:rFonts w:hint="eastAsia" w:ascii="宋体" w:hAnsi="宋体"/>
          <w:kern w:val="0"/>
          <w:sz w:val="24"/>
          <w:szCs w:val="24"/>
        </w:rPr>
      </w:pPr>
    </w:p>
    <w:p w14:paraId="2B925BD7">
      <w:pPr>
        <w:tabs>
          <w:tab w:val="left" w:pos="1080"/>
          <w:tab w:val="left" w:pos="9180"/>
          <w:tab w:val="left" w:pos="9360"/>
        </w:tabs>
        <w:spacing w:line="360" w:lineRule="auto"/>
        <w:ind w:firstLine="482" w:firstLineChars="200"/>
        <w:outlineLvl w:val="0"/>
        <w:rPr>
          <w:rFonts w:hint="eastAsia"/>
          <w:b/>
          <w:kern w:val="28"/>
        </w:rPr>
      </w:pPr>
      <w:r>
        <w:rPr>
          <w:rFonts w:hint="eastAsia"/>
          <w:b/>
          <w:kern w:val="28"/>
        </w:rPr>
        <w:t>三、编制原则及办法</w:t>
      </w:r>
    </w:p>
    <w:p w14:paraId="295A5E40">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（一）工程量：根据建设单位提供的施工图纸计算；</w:t>
      </w:r>
    </w:p>
    <w:p w14:paraId="39DE0B83">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（二）人工信息价(含机上人工)： 根据《杭州造价信息》202</w:t>
      </w:r>
      <w:r>
        <w:rPr>
          <w:rFonts w:hint="eastAsia" w:ascii="宋体" w:hAnsi="宋体"/>
          <w:kern w:val="0"/>
          <w:sz w:val="24"/>
          <w:szCs w:val="24"/>
          <w:lang w:val="en-US" w:eastAsia="zh-CN"/>
        </w:rPr>
        <w:t>5</w:t>
      </w:r>
      <w:r>
        <w:rPr>
          <w:rFonts w:hint="eastAsia" w:ascii="宋体" w:hAnsi="宋体"/>
          <w:kern w:val="0"/>
          <w:sz w:val="24"/>
          <w:szCs w:val="24"/>
        </w:rPr>
        <w:t>年第</w:t>
      </w:r>
      <w:r>
        <w:rPr>
          <w:rFonts w:hint="eastAsia" w:ascii="宋体" w:hAnsi="宋体"/>
          <w:kern w:val="0"/>
          <w:sz w:val="24"/>
          <w:szCs w:val="24"/>
          <w:lang w:val="en-US" w:eastAsia="zh-CN"/>
        </w:rPr>
        <w:t>2</w:t>
      </w:r>
      <w:r>
        <w:rPr>
          <w:rFonts w:hint="eastAsia" w:ascii="宋体" w:hAnsi="宋体"/>
          <w:kern w:val="0"/>
          <w:sz w:val="24"/>
          <w:szCs w:val="24"/>
        </w:rPr>
        <w:t>期正刊计算；</w:t>
      </w:r>
    </w:p>
    <w:p w14:paraId="3C10A769">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（三）材料信息价：根据《杭州造价信息》202</w:t>
      </w:r>
      <w:r>
        <w:rPr>
          <w:rFonts w:hint="eastAsia" w:ascii="宋体" w:hAnsi="宋体"/>
          <w:kern w:val="0"/>
          <w:sz w:val="24"/>
          <w:szCs w:val="24"/>
          <w:lang w:val="en-US" w:eastAsia="zh-CN"/>
        </w:rPr>
        <w:t>5</w:t>
      </w:r>
      <w:r>
        <w:rPr>
          <w:rFonts w:hint="eastAsia" w:ascii="宋体" w:hAnsi="宋体"/>
          <w:kern w:val="0"/>
          <w:sz w:val="24"/>
          <w:szCs w:val="24"/>
        </w:rPr>
        <w:t>年第</w:t>
      </w:r>
      <w:r>
        <w:rPr>
          <w:rFonts w:hint="eastAsia" w:ascii="宋体" w:hAnsi="宋体"/>
          <w:kern w:val="0"/>
          <w:sz w:val="24"/>
          <w:szCs w:val="24"/>
          <w:lang w:val="en-US" w:eastAsia="zh-CN"/>
        </w:rPr>
        <w:t>2</w:t>
      </w:r>
      <w:r>
        <w:rPr>
          <w:rFonts w:hint="eastAsia" w:ascii="宋体" w:hAnsi="宋体"/>
          <w:kern w:val="0"/>
          <w:sz w:val="24"/>
          <w:szCs w:val="24"/>
        </w:rPr>
        <w:t>期正刊、《浙江省造价信息》202</w:t>
      </w:r>
      <w:r>
        <w:rPr>
          <w:rFonts w:hint="eastAsia" w:ascii="宋体" w:hAnsi="宋体"/>
          <w:kern w:val="0"/>
          <w:sz w:val="24"/>
          <w:szCs w:val="24"/>
          <w:lang w:val="en-US" w:eastAsia="zh-CN"/>
        </w:rPr>
        <w:t>5</w:t>
      </w:r>
      <w:r>
        <w:rPr>
          <w:rFonts w:hint="eastAsia" w:ascii="宋体" w:hAnsi="宋体"/>
          <w:kern w:val="0"/>
          <w:sz w:val="24"/>
          <w:szCs w:val="24"/>
        </w:rPr>
        <w:t>年第</w:t>
      </w:r>
      <w:r>
        <w:rPr>
          <w:rFonts w:hint="eastAsia" w:ascii="宋体" w:hAnsi="宋体"/>
          <w:kern w:val="0"/>
          <w:sz w:val="24"/>
          <w:szCs w:val="24"/>
          <w:lang w:val="en-US" w:eastAsia="zh-CN"/>
        </w:rPr>
        <w:t>1</w:t>
      </w:r>
      <w:r>
        <w:rPr>
          <w:rFonts w:hint="eastAsia" w:ascii="宋体" w:hAnsi="宋体"/>
          <w:kern w:val="0"/>
          <w:sz w:val="24"/>
          <w:szCs w:val="24"/>
        </w:rPr>
        <w:t xml:space="preserve">期正刊，无信息价的材料价格按市场询价计入；     </w:t>
      </w:r>
    </w:p>
    <w:p w14:paraId="1600D79D">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（四）取费标准</w:t>
      </w:r>
    </w:p>
    <w:p w14:paraId="2DC814A7">
      <w:pPr>
        <w:pStyle w:val="48"/>
        <w:widowControl/>
        <w:spacing w:line="500" w:lineRule="exact"/>
        <w:ind w:firstLine="720" w:firstLineChars="300"/>
        <w:rPr>
          <w:rFonts w:hint="default" w:ascii="宋体" w:hAnsi="宋体" w:eastAsia="宋体"/>
          <w:kern w:val="0"/>
          <w:sz w:val="24"/>
          <w:szCs w:val="24"/>
          <w:lang w:val="en-US" w:eastAsia="zh-CN"/>
        </w:rPr>
      </w:pPr>
      <w:r>
        <w:rPr>
          <w:rFonts w:hint="eastAsia" w:ascii="宋体" w:hAnsi="宋体"/>
          <w:kern w:val="0"/>
          <w:sz w:val="24"/>
          <w:szCs w:val="24"/>
          <w:lang w:val="en-US" w:eastAsia="zh-CN"/>
        </w:rPr>
        <w:t>建筑与装饰工程：</w:t>
      </w:r>
    </w:p>
    <w:p w14:paraId="5DFD10B6">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1.施工组织措施费：按房屋建筑及构筑物工程一般计税费率中值计取，以人工费+机械费为计算基数，总费率为</w:t>
      </w:r>
      <w:r>
        <w:rPr>
          <w:rFonts w:hint="eastAsia" w:ascii="宋体" w:hAnsi="宋体"/>
          <w:kern w:val="0"/>
          <w:sz w:val="24"/>
          <w:szCs w:val="24"/>
          <w:lang w:val="en-US" w:eastAsia="zh-CN"/>
        </w:rPr>
        <w:t>11.56</w:t>
      </w:r>
      <w:r>
        <w:rPr>
          <w:rFonts w:hint="eastAsia" w:ascii="宋体" w:hAnsi="宋体"/>
          <w:kern w:val="0"/>
          <w:sz w:val="24"/>
          <w:szCs w:val="24"/>
        </w:rPr>
        <w:t>%；</w:t>
      </w:r>
    </w:p>
    <w:p w14:paraId="65194C0B">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2.企业管理费：按房屋建筑及构筑物工程一般计税费率中值计取，以人工费+机械费为计算基数，费率为</w:t>
      </w:r>
      <w:r>
        <w:rPr>
          <w:rFonts w:hint="eastAsia" w:ascii="宋体" w:hAnsi="宋体"/>
          <w:kern w:val="0"/>
          <w:sz w:val="24"/>
          <w:szCs w:val="24"/>
          <w:lang w:val="en-US" w:eastAsia="zh-CN"/>
        </w:rPr>
        <w:t>7.18</w:t>
      </w:r>
      <w:r>
        <w:rPr>
          <w:rFonts w:hint="eastAsia" w:ascii="宋体" w:hAnsi="宋体"/>
          <w:kern w:val="0"/>
          <w:sz w:val="24"/>
          <w:szCs w:val="24"/>
        </w:rPr>
        <w:t>%</w:t>
      </w:r>
      <w:r>
        <w:rPr>
          <w:rFonts w:hint="eastAsia" w:ascii="宋体" w:hAnsi="宋体"/>
          <w:kern w:val="0"/>
          <w:sz w:val="24"/>
          <w:szCs w:val="24"/>
          <w:lang w:eastAsia="zh-CN"/>
        </w:rPr>
        <w:t>，</w:t>
      </w:r>
      <w:r>
        <w:rPr>
          <w:rFonts w:hint="eastAsia" w:ascii="宋体" w:hAnsi="宋体"/>
          <w:kern w:val="0"/>
          <w:sz w:val="24"/>
          <w:szCs w:val="24"/>
          <w:lang w:val="en-US" w:eastAsia="zh-CN"/>
        </w:rPr>
        <w:t>其中安全生产责任保险费</w:t>
      </w:r>
      <w:r>
        <w:rPr>
          <w:rFonts w:hint="eastAsia" w:ascii="宋体" w:hAnsi="宋体"/>
          <w:kern w:val="0"/>
          <w:sz w:val="24"/>
          <w:szCs w:val="24"/>
        </w:rPr>
        <w:t>费率</w:t>
      </w:r>
      <w:r>
        <w:rPr>
          <w:rFonts w:hint="eastAsia" w:ascii="宋体" w:hAnsi="宋体"/>
          <w:kern w:val="0"/>
          <w:sz w:val="24"/>
          <w:szCs w:val="24"/>
          <w:lang w:val="en-US" w:eastAsia="zh-CN"/>
        </w:rPr>
        <w:t>0.33%</w:t>
      </w:r>
      <w:r>
        <w:rPr>
          <w:rFonts w:hint="eastAsia" w:ascii="宋体" w:hAnsi="宋体"/>
          <w:kern w:val="0"/>
          <w:sz w:val="24"/>
          <w:szCs w:val="24"/>
        </w:rPr>
        <w:t>;</w:t>
      </w:r>
    </w:p>
    <w:p w14:paraId="7C7F3406">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3.利润：按房屋建筑及构筑物工程一般计税费率中值计取，以人工费+机械费为计算基数，费率为</w:t>
      </w:r>
      <w:r>
        <w:rPr>
          <w:rFonts w:hint="eastAsia" w:ascii="宋体" w:hAnsi="宋体"/>
          <w:kern w:val="0"/>
          <w:sz w:val="24"/>
          <w:szCs w:val="24"/>
          <w:lang w:val="en-US" w:eastAsia="zh-CN"/>
        </w:rPr>
        <w:t>7.62</w:t>
      </w:r>
      <w:r>
        <w:rPr>
          <w:rFonts w:hint="eastAsia" w:ascii="宋体" w:hAnsi="宋体"/>
          <w:kern w:val="0"/>
          <w:sz w:val="24"/>
          <w:szCs w:val="24"/>
        </w:rPr>
        <w:t xml:space="preserve">%;          </w:t>
      </w:r>
    </w:p>
    <w:p w14:paraId="46B8BF81">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4.规费：按房屋建筑及构筑物工程一般计税费率计取，以人工费+机械费计算基数，费率为</w:t>
      </w:r>
      <w:r>
        <w:rPr>
          <w:rFonts w:hint="eastAsia" w:ascii="宋体" w:hAnsi="宋体"/>
          <w:kern w:val="0"/>
          <w:sz w:val="24"/>
          <w:szCs w:val="24"/>
          <w:lang w:val="en-US" w:eastAsia="zh-CN"/>
        </w:rPr>
        <w:t>27.92</w:t>
      </w:r>
      <w:r>
        <w:rPr>
          <w:rFonts w:hint="eastAsia" w:ascii="宋体" w:hAnsi="宋体"/>
          <w:kern w:val="0"/>
          <w:sz w:val="24"/>
          <w:szCs w:val="24"/>
        </w:rPr>
        <w:t>%;</w:t>
      </w:r>
    </w:p>
    <w:p w14:paraId="06E16320">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5.税金：按房屋建筑及构筑物工程一般计税方法税率计取，以税前工程造价为计算基数，税率为</w:t>
      </w:r>
      <w:r>
        <w:rPr>
          <w:rFonts w:hint="eastAsia" w:ascii="宋体" w:hAnsi="宋体"/>
          <w:kern w:val="0"/>
          <w:sz w:val="24"/>
          <w:szCs w:val="24"/>
          <w:lang w:val="en-US" w:eastAsia="zh-CN"/>
        </w:rPr>
        <w:t>9</w:t>
      </w:r>
      <w:r>
        <w:rPr>
          <w:rFonts w:hint="eastAsia" w:ascii="宋体" w:hAnsi="宋体"/>
          <w:kern w:val="0"/>
          <w:sz w:val="24"/>
          <w:szCs w:val="24"/>
        </w:rPr>
        <w:t>%。</w:t>
      </w:r>
    </w:p>
    <w:p w14:paraId="1F5B6ECE">
      <w:pPr>
        <w:pStyle w:val="48"/>
        <w:widowControl/>
        <w:spacing w:line="500" w:lineRule="exact"/>
        <w:ind w:firstLine="720" w:firstLineChars="300"/>
        <w:rPr>
          <w:rFonts w:hint="default" w:ascii="宋体" w:hAnsi="宋体" w:eastAsia="宋体"/>
          <w:kern w:val="0"/>
          <w:sz w:val="24"/>
          <w:szCs w:val="24"/>
          <w:lang w:val="en-US" w:eastAsia="zh-CN"/>
        </w:rPr>
      </w:pPr>
      <w:r>
        <w:rPr>
          <w:rFonts w:hint="eastAsia" w:ascii="宋体" w:hAnsi="宋体"/>
          <w:kern w:val="0"/>
          <w:sz w:val="24"/>
          <w:szCs w:val="24"/>
          <w:lang w:val="en-US" w:eastAsia="zh-CN"/>
        </w:rPr>
        <w:t>安装工程：</w:t>
      </w:r>
    </w:p>
    <w:p w14:paraId="00E1AA3E">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1.施工组织措施费：按水、电、暖通、消防、智能、自控及通信安装工程一般计税费率中值计取，以人工费+机械费为计算基数，总费率为</w:t>
      </w:r>
      <w:r>
        <w:rPr>
          <w:rFonts w:hint="eastAsia" w:ascii="宋体" w:hAnsi="宋体"/>
          <w:kern w:val="0"/>
          <w:sz w:val="24"/>
          <w:szCs w:val="24"/>
          <w:lang w:val="en-US" w:eastAsia="zh-CN"/>
        </w:rPr>
        <w:t>8.56</w:t>
      </w:r>
      <w:r>
        <w:rPr>
          <w:rFonts w:hint="eastAsia" w:ascii="宋体" w:hAnsi="宋体"/>
          <w:kern w:val="0"/>
          <w:sz w:val="24"/>
          <w:szCs w:val="24"/>
        </w:rPr>
        <w:t>%；</w:t>
      </w:r>
    </w:p>
    <w:p w14:paraId="3996F2DF">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2.企业管理费：按水、电、暖通、消防、智能、自控及通信安装工程一般计税费率中值计取，以人工费+机械费为计算基数，费率为</w:t>
      </w:r>
      <w:r>
        <w:rPr>
          <w:rFonts w:hint="eastAsia" w:ascii="宋体" w:hAnsi="宋体"/>
          <w:kern w:val="0"/>
          <w:sz w:val="24"/>
          <w:szCs w:val="24"/>
          <w:lang w:val="en-US" w:eastAsia="zh-CN"/>
        </w:rPr>
        <w:t>22.05</w:t>
      </w:r>
      <w:r>
        <w:rPr>
          <w:rFonts w:hint="eastAsia" w:ascii="宋体" w:hAnsi="宋体"/>
          <w:kern w:val="0"/>
          <w:sz w:val="24"/>
          <w:szCs w:val="24"/>
        </w:rPr>
        <w:t>%</w:t>
      </w:r>
      <w:r>
        <w:rPr>
          <w:rFonts w:hint="eastAsia" w:ascii="宋体" w:hAnsi="宋体"/>
          <w:kern w:val="0"/>
          <w:sz w:val="24"/>
          <w:szCs w:val="24"/>
          <w:lang w:eastAsia="zh-CN"/>
        </w:rPr>
        <w:t>，</w:t>
      </w:r>
      <w:r>
        <w:rPr>
          <w:rFonts w:hint="eastAsia" w:ascii="宋体" w:hAnsi="宋体"/>
          <w:kern w:val="0"/>
          <w:sz w:val="24"/>
          <w:szCs w:val="24"/>
          <w:lang w:val="en-US" w:eastAsia="zh-CN"/>
        </w:rPr>
        <w:t>其中安全生产责任保险费</w:t>
      </w:r>
      <w:r>
        <w:rPr>
          <w:rFonts w:hint="eastAsia" w:ascii="宋体" w:hAnsi="宋体"/>
          <w:kern w:val="0"/>
          <w:sz w:val="24"/>
          <w:szCs w:val="24"/>
        </w:rPr>
        <w:t>费率</w:t>
      </w:r>
      <w:r>
        <w:rPr>
          <w:rFonts w:hint="eastAsia" w:ascii="宋体" w:hAnsi="宋体"/>
          <w:kern w:val="0"/>
          <w:sz w:val="24"/>
          <w:szCs w:val="24"/>
          <w:lang w:val="en-US" w:eastAsia="zh-CN"/>
        </w:rPr>
        <w:t>0.33%</w:t>
      </w:r>
      <w:r>
        <w:rPr>
          <w:rFonts w:hint="eastAsia" w:ascii="宋体" w:hAnsi="宋体"/>
          <w:kern w:val="0"/>
          <w:sz w:val="24"/>
          <w:szCs w:val="24"/>
        </w:rPr>
        <w:t>;</w:t>
      </w:r>
    </w:p>
    <w:p w14:paraId="509C3162">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3.利润：按水、电、暖通、消防、智能、自控及通信安装工程一般计税费率中值计取，以人工费+机械费为计算基数，费率为</w:t>
      </w:r>
      <w:r>
        <w:rPr>
          <w:rFonts w:hint="eastAsia" w:ascii="宋体" w:hAnsi="宋体"/>
          <w:kern w:val="0"/>
          <w:sz w:val="24"/>
          <w:szCs w:val="24"/>
          <w:lang w:val="en-US" w:eastAsia="zh-CN"/>
        </w:rPr>
        <w:t>10.4</w:t>
      </w:r>
      <w:r>
        <w:rPr>
          <w:rFonts w:hint="eastAsia" w:ascii="宋体" w:hAnsi="宋体"/>
          <w:kern w:val="0"/>
          <w:sz w:val="24"/>
          <w:szCs w:val="24"/>
        </w:rPr>
        <w:t xml:space="preserve">%;          </w:t>
      </w:r>
    </w:p>
    <w:p w14:paraId="7DFD7263">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4.规费：按水、电、暖通、消防、智能、自控及通信安装工程一般计税费率计取，以人工费+机械费计算基数，费率为</w:t>
      </w:r>
      <w:r>
        <w:rPr>
          <w:rFonts w:hint="eastAsia" w:ascii="宋体" w:hAnsi="宋体"/>
          <w:kern w:val="0"/>
          <w:sz w:val="24"/>
          <w:szCs w:val="24"/>
          <w:lang w:val="en-US" w:eastAsia="zh-CN"/>
        </w:rPr>
        <w:t>30.63</w:t>
      </w:r>
      <w:r>
        <w:rPr>
          <w:rFonts w:hint="eastAsia" w:ascii="宋体" w:hAnsi="宋体"/>
          <w:kern w:val="0"/>
          <w:sz w:val="24"/>
          <w:szCs w:val="24"/>
        </w:rPr>
        <w:t>%;</w:t>
      </w:r>
    </w:p>
    <w:p w14:paraId="07458FE9">
      <w:pPr>
        <w:pStyle w:val="48"/>
        <w:widowControl/>
        <w:spacing w:line="500" w:lineRule="exact"/>
        <w:ind w:firstLine="480" w:firstLineChars="200"/>
        <w:rPr>
          <w:rFonts w:hint="eastAsia" w:ascii="宋体" w:hAnsi="宋体"/>
          <w:kern w:val="0"/>
          <w:sz w:val="24"/>
          <w:szCs w:val="24"/>
        </w:rPr>
      </w:pPr>
      <w:r>
        <w:rPr>
          <w:rFonts w:hint="eastAsia" w:ascii="宋体" w:hAnsi="宋体"/>
          <w:kern w:val="0"/>
          <w:sz w:val="24"/>
          <w:szCs w:val="24"/>
        </w:rPr>
        <w:t>5.税金：按水、电、暖通、消防、智能、自控及通信安装工程一般计税方法税率计取，以税前工程造价为计算基数，税率为</w:t>
      </w:r>
      <w:r>
        <w:rPr>
          <w:rFonts w:hint="eastAsia" w:ascii="宋体" w:hAnsi="宋体"/>
          <w:kern w:val="0"/>
          <w:sz w:val="24"/>
          <w:szCs w:val="24"/>
          <w:lang w:val="en-US" w:eastAsia="zh-CN"/>
        </w:rPr>
        <w:t>9</w:t>
      </w:r>
      <w:r>
        <w:rPr>
          <w:rFonts w:hint="eastAsia" w:ascii="宋体" w:hAnsi="宋体"/>
          <w:kern w:val="0"/>
          <w:sz w:val="24"/>
          <w:szCs w:val="24"/>
        </w:rPr>
        <w:t>%。</w:t>
      </w:r>
    </w:p>
    <w:p w14:paraId="1CC95C08">
      <w:pPr>
        <w:pStyle w:val="48"/>
        <w:widowControl/>
        <w:spacing w:line="500" w:lineRule="exact"/>
        <w:ind w:firstLine="480" w:firstLineChars="200"/>
        <w:rPr>
          <w:rFonts w:hint="eastAsia" w:ascii="宋体" w:hAnsi="宋体"/>
          <w:kern w:val="0"/>
          <w:sz w:val="24"/>
          <w:szCs w:val="24"/>
        </w:rPr>
      </w:pPr>
    </w:p>
    <w:p w14:paraId="1346D059">
      <w:pPr>
        <w:numPr>
          <w:ilvl w:val="0"/>
          <w:numId w:val="3"/>
        </w:numPr>
        <w:tabs>
          <w:tab w:val="left" w:pos="1080"/>
          <w:tab w:val="left" w:pos="9180"/>
          <w:tab w:val="left" w:pos="9360"/>
        </w:tabs>
        <w:spacing w:line="360" w:lineRule="auto"/>
        <w:outlineLvl w:val="0"/>
        <w:rPr>
          <w:rFonts w:hint="default" w:ascii="宋体" w:hAnsi="宋体" w:eastAsia="宋体" w:cs="Times New Roman"/>
          <w:b/>
          <w:bCs w:val="0"/>
          <w:kern w:val="0"/>
          <w:sz w:val="24"/>
          <w:szCs w:val="24"/>
          <w:lang w:val="en-US" w:eastAsia="zh-CN"/>
        </w:rPr>
      </w:pPr>
      <w:r>
        <w:rPr>
          <w:rFonts w:hint="eastAsia"/>
          <w:b/>
          <w:bCs w:val="0"/>
          <w:kern w:val="28"/>
          <w:lang w:val="en-US" w:eastAsia="zh-CN"/>
        </w:rPr>
        <w:t>编制</w:t>
      </w:r>
      <w:r>
        <w:rPr>
          <w:rFonts w:hint="eastAsia"/>
          <w:b/>
          <w:bCs w:val="0"/>
          <w:kern w:val="28"/>
        </w:rPr>
        <w:t>说明</w:t>
      </w:r>
    </w:p>
    <w:p w14:paraId="4DDC37E0">
      <w:pPr>
        <w:numPr>
          <w:ilvl w:val="0"/>
          <w:numId w:val="0"/>
        </w:numPr>
        <w:tabs>
          <w:tab w:val="left" w:pos="1080"/>
          <w:tab w:val="left" w:pos="9180"/>
          <w:tab w:val="left" w:pos="9360"/>
        </w:tabs>
        <w:spacing w:line="360" w:lineRule="auto"/>
        <w:ind w:left="480" w:leftChars="0"/>
        <w:outlineLvl w:val="0"/>
        <w:rPr>
          <w:rFonts w:hint="eastAsia" w:eastAsia="宋体"/>
          <w:b/>
          <w:bCs w:val="0"/>
          <w:kern w:val="28"/>
          <w:lang w:val="en-US" w:eastAsia="zh-CN"/>
        </w:rPr>
      </w:pPr>
      <w:r>
        <w:rPr>
          <w:rFonts w:hint="eastAsia" w:eastAsia="宋体"/>
          <w:b/>
          <w:bCs w:val="0"/>
          <w:kern w:val="28"/>
          <w:lang w:val="en-US" w:eastAsia="zh-CN"/>
        </w:rPr>
        <w:t>（一）建筑与装饰工程：</w:t>
      </w:r>
    </w:p>
    <w:p w14:paraId="0B16FB4D">
      <w:pPr>
        <w:pStyle w:val="48"/>
        <w:widowControl/>
        <w:numPr>
          <w:ilvl w:val="0"/>
          <w:numId w:val="4"/>
        </w:numPr>
        <w:spacing w:line="500" w:lineRule="exact"/>
        <w:ind w:firstLine="480" w:firstLineChars="200"/>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经设计单位确认，室内玻璃隔断，暂按铝合金框80款单玻璃（8mm厚钢化玻璃）</w:t>
      </w:r>
      <w:r>
        <w:rPr>
          <w:rFonts w:hint="eastAsia" w:ascii="宋体" w:hAnsi="宋体" w:eastAsia="宋体" w:cs="Times New Roman"/>
          <w:kern w:val="0"/>
          <w:sz w:val="24"/>
          <w:szCs w:val="24"/>
          <w:lang w:val="en-US" w:eastAsia="zh-CN"/>
        </w:rPr>
        <w:t>计入；</w:t>
      </w:r>
    </w:p>
    <w:p w14:paraId="3A08BCD0">
      <w:pPr>
        <w:pStyle w:val="48"/>
        <w:widowControl/>
        <w:numPr>
          <w:ilvl w:val="0"/>
          <w:numId w:val="4"/>
        </w:numPr>
        <w:spacing w:line="500" w:lineRule="exact"/>
        <w:ind w:firstLine="480" w:firstLineChars="200"/>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经设计单位确认，石膏板墙面及石膏板吊顶，暂按一层石膏板</w:t>
      </w:r>
      <w:r>
        <w:rPr>
          <w:rFonts w:hint="eastAsia" w:ascii="宋体" w:hAnsi="宋体" w:eastAsia="宋体" w:cs="Times New Roman"/>
          <w:kern w:val="0"/>
          <w:sz w:val="24"/>
          <w:szCs w:val="24"/>
          <w:lang w:val="en-US" w:eastAsia="zh-CN"/>
        </w:rPr>
        <w:t>计入；</w:t>
      </w:r>
    </w:p>
    <w:p w14:paraId="47C070DB">
      <w:pPr>
        <w:pStyle w:val="48"/>
        <w:widowControl/>
        <w:numPr>
          <w:ilvl w:val="0"/>
          <w:numId w:val="4"/>
        </w:numPr>
        <w:spacing w:line="500" w:lineRule="exact"/>
        <w:ind w:firstLine="480" w:firstLineChars="200"/>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经设计单位确认，顶一、顶二石膏板吊顶腻子暂不计入；</w:t>
      </w:r>
    </w:p>
    <w:p w14:paraId="31697D37">
      <w:pPr>
        <w:pStyle w:val="48"/>
        <w:widowControl/>
        <w:numPr>
          <w:ilvl w:val="0"/>
          <w:numId w:val="4"/>
        </w:numPr>
        <w:spacing w:line="500" w:lineRule="exact"/>
        <w:ind w:firstLine="480" w:firstLineChars="200"/>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经设计单位确认可移动家具、窗帘、茶台、办公柜等暂不计入；</w:t>
      </w:r>
    </w:p>
    <w:p w14:paraId="5C2B4EEF">
      <w:pPr>
        <w:pStyle w:val="48"/>
        <w:widowControl/>
        <w:numPr>
          <w:ilvl w:val="0"/>
          <w:numId w:val="4"/>
        </w:numPr>
        <w:spacing w:line="500" w:lineRule="exact"/>
        <w:ind w:firstLine="480" w:firstLineChars="200"/>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经设计单位确认13、14层局部室内装修改造暂不计入。</w:t>
      </w:r>
    </w:p>
    <w:p w14:paraId="7D72577D">
      <w:pPr>
        <w:pStyle w:val="48"/>
        <w:widowControl/>
        <w:numPr>
          <w:ilvl w:val="0"/>
          <w:numId w:val="0"/>
        </w:numPr>
        <w:spacing w:line="500" w:lineRule="exact"/>
        <w:ind w:firstLine="482" w:firstLineChars="200"/>
        <w:rPr>
          <w:rFonts w:hint="eastAsia" w:ascii="宋体" w:hAnsi="宋体" w:eastAsia="宋体" w:cs="宋体"/>
          <w:b/>
          <w:bCs w:val="0"/>
          <w:kern w:val="28"/>
          <w:sz w:val="24"/>
          <w:szCs w:val="24"/>
          <w:lang w:val="en-US" w:eastAsia="zh-CN" w:bidi="ar-SA"/>
        </w:rPr>
      </w:pPr>
      <w:r>
        <w:rPr>
          <w:rFonts w:hint="eastAsia" w:ascii="宋体" w:hAnsi="宋体" w:eastAsia="宋体" w:cs="宋体"/>
          <w:b/>
          <w:bCs w:val="0"/>
          <w:kern w:val="28"/>
          <w:sz w:val="24"/>
          <w:szCs w:val="24"/>
          <w:lang w:val="en-US" w:eastAsia="zh-CN" w:bidi="ar-SA"/>
        </w:rPr>
        <w:t>（二）安装工程：</w:t>
      </w:r>
    </w:p>
    <w:p w14:paraId="39C721DE">
      <w:pPr>
        <w:pStyle w:val="48"/>
        <w:widowControl/>
        <w:numPr>
          <w:ilvl w:val="0"/>
          <w:numId w:val="0"/>
        </w:numPr>
        <w:spacing w:line="500" w:lineRule="exact"/>
        <w:ind w:firstLine="480" w:firstLineChars="200"/>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1.防排烟系统经设计明确为原有，预算暂不计入；</w:t>
      </w:r>
    </w:p>
    <w:p w14:paraId="64D966AA">
      <w:pPr>
        <w:pStyle w:val="48"/>
        <w:widowControl/>
        <w:numPr>
          <w:ilvl w:val="0"/>
          <w:numId w:val="0"/>
        </w:numPr>
        <w:spacing w:line="500" w:lineRule="exact"/>
        <w:ind w:firstLine="480" w:firstLineChars="200"/>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2.空调系统风管平面图与水平面图型号规格、数量不一致，预算暂按风管平面图计入;</w:t>
      </w:r>
    </w:p>
    <w:p w14:paraId="128FC215">
      <w:pPr>
        <w:pStyle w:val="48"/>
        <w:widowControl/>
        <w:numPr>
          <w:ilvl w:val="0"/>
          <w:numId w:val="0"/>
        </w:numPr>
        <w:spacing w:line="500" w:lineRule="exact"/>
        <w:ind w:firstLine="480" w:firstLineChars="200"/>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3.平面图铜管规格不明确，经设计明确需厂家二次深化，预算按包干价一项计入，结算不做调整；</w:t>
      </w:r>
    </w:p>
    <w:p w14:paraId="0E338E24">
      <w:pPr>
        <w:pStyle w:val="48"/>
        <w:widowControl/>
        <w:numPr>
          <w:ilvl w:val="0"/>
          <w:numId w:val="0"/>
        </w:numPr>
        <w:spacing w:line="500" w:lineRule="exact"/>
        <w:ind w:firstLine="480" w:firstLineChars="200"/>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4.计算机网络系统平面图与系统不一致，预算暂按系统图计入；</w:t>
      </w:r>
    </w:p>
    <w:p w14:paraId="643561C0">
      <w:pPr>
        <w:pStyle w:val="48"/>
        <w:widowControl/>
        <w:numPr>
          <w:ilvl w:val="0"/>
          <w:numId w:val="0"/>
        </w:numPr>
        <w:spacing w:line="500" w:lineRule="exact"/>
        <w:ind w:firstLine="480" w:firstLineChars="200"/>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5.图纸机柜内交换机.配线架数量及型号不明确，预算按满足末端点位数量配置计算；</w:t>
      </w:r>
    </w:p>
    <w:p w14:paraId="624F0072">
      <w:pPr>
        <w:pStyle w:val="48"/>
        <w:widowControl/>
        <w:numPr>
          <w:ilvl w:val="0"/>
          <w:numId w:val="0"/>
        </w:numPr>
        <w:spacing w:line="500" w:lineRule="exact"/>
        <w:ind w:firstLine="480" w:firstLineChars="200"/>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6.配管规格未明确，预算暂按 JDG20 计入，门禁系统中机柜至门禁控制器按 JDG25 计入；</w:t>
      </w:r>
    </w:p>
    <w:p w14:paraId="4364AC51">
      <w:pPr>
        <w:pStyle w:val="48"/>
        <w:widowControl/>
        <w:numPr>
          <w:ilvl w:val="0"/>
          <w:numId w:val="0"/>
        </w:numPr>
        <w:spacing w:line="500" w:lineRule="exact"/>
        <w:ind w:firstLine="480" w:firstLineChars="200"/>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7.楼层配电总箱及消防报警系统前端进线电缆不计入；</w:t>
      </w:r>
    </w:p>
    <w:p w14:paraId="2824355E">
      <w:pPr>
        <w:pStyle w:val="48"/>
        <w:widowControl/>
        <w:numPr>
          <w:ilvl w:val="0"/>
          <w:numId w:val="0"/>
        </w:numPr>
        <w:spacing w:line="500" w:lineRule="exact"/>
        <w:ind w:firstLine="480" w:firstLineChars="200"/>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8.原有应急照明灯具移位按 2000 元/项包干计入；</w:t>
      </w:r>
    </w:p>
    <w:p w14:paraId="42407A39">
      <w:pPr>
        <w:pStyle w:val="48"/>
        <w:widowControl/>
        <w:numPr>
          <w:ilvl w:val="0"/>
          <w:numId w:val="0"/>
        </w:numPr>
        <w:spacing w:line="500" w:lineRule="exact"/>
        <w:ind w:firstLine="480" w:firstLineChars="200"/>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9.给水系统从井道水表处开始计算；</w:t>
      </w:r>
    </w:p>
    <w:p w14:paraId="392963BF">
      <w:pPr>
        <w:pStyle w:val="48"/>
        <w:widowControl/>
        <w:numPr>
          <w:ilvl w:val="0"/>
          <w:numId w:val="0"/>
        </w:numPr>
        <w:spacing w:line="500" w:lineRule="exact"/>
        <w:ind w:firstLine="480" w:firstLineChars="200"/>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10.排水系统只计入支管工程量；</w:t>
      </w:r>
    </w:p>
    <w:p w14:paraId="4CC23A5A">
      <w:pPr>
        <w:pStyle w:val="48"/>
        <w:widowControl/>
        <w:numPr>
          <w:ilvl w:val="0"/>
          <w:numId w:val="0"/>
        </w:numPr>
        <w:spacing w:line="500" w:lineRule="exact"/>
        <w:ind w:firstLine="480" w:firstLineChars="200"/>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11.喷淋及消火栓系统镀锌钢管 DN65 以上管道按沟槽连接方式计入，从主立管三通分支处开始计入。</w:t>
      </w:r>
    </w:p>
    <w:p w14:paraId="5A509C1E">
      <w:pPr>
        <w:pStyle w:val="48"/>
        <w:widowControl/>
        <w:numPr>
          <w:ilvl w:val="0"/>
          <w:numId w:val="0"/>
        </w:numPr>
        <w:spacing w:line="500" w:lineRule="exact"/>
        <w:ind w:firstLine="482" w:firstLineChars="200"/>
        <w:rPr>
          <w:rFonts w:hint="eastAsia" w:ascii="宋体" w:hAnsi="宋体" w:eastAsia="宋体" w:cs="宋体"/>
          <w:b/>
          <w:bCs w:val="0"/>
          <w:kern w:val="28"/>
          <w:sz w:val="24"/>
          <w:szCs w:val="24"/>
          <w:lang w:val="en-US" w:eastAsia="zh-CN" w:bidi="ar-SA"/>
        </w:rPr>
      </w:pPr>
      <w:r>
        <w:rPr>
          <w:rFonts w:hint="eastAsia" w:ascii="宋体" w:hAnsi="宋体" w:eastAsia="宋体" w:cs="宋体"/>
          <w:b/>
          <w:bCs w:val="0"/>
          <w:kern w:val="28"/>
          <w:sz w:val="24"/>
          <w:szCs w:val="24"/>
          <w:lang w:val="en-US" w:eastAsia="zh-CN" w:bidi="ar-SA"/>
        </w:rPr>
        <w:t>（三）共性部分：</w:t>
      </w:r>
    </w:p>
    <w:p w14:paraId="076EC5A9">
      <w:pPr>
        <w:pStyle w:val="48"/>
        <w:widowControl/>
        <w:numPr>
          <w:ilvl w:val="0"/>
          <w:numId w:val="5"/>
        </w:numPr>
        <w:spacing w:line="500" w:lineRule="exact"/>
        <w:ind w:firstLine="480" w:firstLineChars="200"/>
        <w:rPr>
          <w:rFonts w:hint="eastAsia" w:ascii="宋体" w:hAnsi="宋体" w:eastAsia="宋体" w:cs="宋体"/>
          <w:b w:val="0"/>
          <w:bCs/>
          <w:kern w:val="28"/>
          <w:sz w:val="24"/>
          <w:szCs w:val="24"/>
          <w:lang w:val="en-US" w:eastAsia="zh-CN" w:bidi="ar-SA"/>
        </w:rPr>
      </w:pPr>
      <w:r>
        <w:rPr>
          <w:rFonts w:hint="eastAsia" w:ascii="宋体" w:hAnsi="宋体" w:eastAsia="宋体" w:cs="宋体"/>
          <w:b w:val="0"/>
          <w:bCs/>
          <w:kern w:val="28"/>
          <w:sz w:val="24"/>
          <w:szCs w:val="24"/>
          <w:lang w:val="en-US" w:eastAsia="zh-CN" w:bidi="ar-SA"/>
        </w:rPr>
        <w:t>本工程混凝土按商品混凝土，砂浆按预拌砂浆计入；</w:t>
      </w:r>
    </w:p>
    <w:p w14:paraId="1719A09A">
      <w:pPr>
        <w:pStyle w:val="48"/>
        <w:widowControl/>
        <w:numPr>
          <w:ilvl w:val="0"/>
          <w:numId w:val="5"/>
        </w:numPr>
        <w:spacing w:line="500" w:lineRule="exact"/>
        <w:ind w:firstLine="480" w:firstLineChars="200"/>
        <w:rPr>
          <w:rFonts w:hint="default" w:ascii="宋体" w:hAnsi="宋体" w:eastAsia="宋体" w:cs="宋体"/>
          <w:b w:val="0"/>
          <w:bCs/>
          <w:kern w:val="28"/>
          <w:sz w:val="24"/>
          <w:szCs w:val="24"/>
          <w:lang w:val="en-US" w:eastAsia="zh-CN" w:bidi="ar-SA"/>
        </w:rPr>
      </w:pPr>
      <w:r>
        <w:rPr>
          <w:rFonts w:hint="default" w:ascii="宋体" w:hAnsi="宋体" w:eastAsia="宋体" w:cs="宋体"/>
          <w:b w:val="0"/>
          <w:bCs/>
          <w:kern w:val="28"/>
          <w:sz w:val="24"/>
          <w:szCs w:val="24"/>
          <w:lang w:val="en-US" w:eastAsia="zh-CN" w:bidi="ar-SA"/>
        </w:rPr>
        <w:t>施工过程中可能会遇到相关意见和图纸不符，很有可能会做出相应的调整，具体工程量以施工过程中实际发生量为准</w:t>
      </w:r>
      <w:r>
        <w:rPr>
          <w:rFonts w:hint="eastAsia" w:ascii="宋体" w:hAnsi="宋体" w:eastAsia="宋体" w:cs="宋体"/>
          <w:b w:val="0"/>
          <w:bCs/>
          <w:kern w:val="28"/>
          <w:sz w:val="24"/>
          <w:szCs w:val="24"/>
          <w:lang w:val="en-US" w:eastAsia="zh-CN" w:bidi="ar-SA"/>
        </w:rPr>
        <w:t>；</w:t>
      </w:r>
    </w:p>
    <w:p w14:paraId="5A299DB0">
      <w:pPr>
        <w:pStyle w:val="48"/>
        <w:widowControl/>
        <w:numPr>
          <w:ilvl w:val="0"/>
          <w:numId w:val="5"/>
        </w:numPr>
        <w:spacing w:line="500" w:lineRule="exact"/>
        <w:ind w:firstLine="480" w:firstLineChars="200"/>
        <w:rPr>
          <w:rFonts w:hint="default" w:ascii="宋体" w:hAnsi="宋体" w:eastAsia="宋体" w:cs="宋体"/>
          <w:b w:val="0"/>
          <w:bCs/>
          <w:kern w:val="28"/>
          <w:sz w:val="24"/>
          <w:szCs w:val="24"/>
          <w:lang w:val="en-US" w:eastAsia="zh-CN" w:bidi="ar-SA"/>
        </w:rPr>
      </w:pPr>
      <w:r>
        <w:rPr>
          <w:rFonts w:hint="default" w:ascii="宋体" w:hAnsi="宋体" w:eastAsia="宋体" w:cs="宋体"/>
          <w:b w:val="0"/>
          <w:bCs/>
          <w:kern w:val="28"/>
          <w:sz w:val="24"/>
          <w:szCs w:val="24"/>
          <w:lang w:val="en-US" w:eastAsia="zh-CN" w:bidi="ar-SA"/>
        </w:rPr>
        <w:t>本工程中主要材料均需要业主选样，满足业主及设计要求</w:t>
      </w:r>
      <w:r>
        <w:rPr>
          <w:rFonts w:hint="eastAsia" w:ascii="宋体" w:hAnsi="宋体" w:eastAsia="宋体" w:cs="宋体"/>
          <w:b w:val="0"/>
          <w:bCs/>
          <w:kern w:val="28"/>
          <w:sz w:val="24"/>
          <w:szCs w:val="24"/>
          <w:lang w:val="en-US" w:eastAsia="zh-CN" w:bidi="ar-SA"/>
        </w:rPr>
        <w:t>；</w:t>
      </w:r>
    </w:p>
    <w:p w14:paraId="5597414D">
      <w:pPr>
        <w:pStyle w:val="48"/>
        <w:widowControl/>
        <w:numPr>
          <w:ilvl w:val="0"/>
          <w:numId w:val="5"/>
        </w:numPr>
        <w:spacing w:line="500" w:lineRule="exact"/>
        <w:ind w:firstLine="480" w:firstLineChars="200"/>
        <w:rPr>
          <w:rFonts w:hint="default" w:ascii="宋体" w:hAnsi="宋体" w:eastAsia="宋体" w:cs="Times New Roman"/>
          <w:kern w:val="0"/>
          <w:sz w:val="24"/>
          <w:szCs w:val="24"/>
          <w:lang w:val="en-US" w:eastAsia="zh-CN"/>
        </w:rPr>
      </w:pPr>
      <w:r>
        <w:rPr>
          <w:rFonts w:hint="default" w:ascii="宋体" w:hAnsi="宋体" w:eastAsia="宋体" w:cs="宋体"/>
          <w:b w:val="0"/>
          <w:bCs/>
          <w:kern w:val="28"/>
          <w:sz w:val="24"/>
          <w:szCs w:val="24"/>
          <w:lang w:val="en-US" w:eastAsia="zh-CN" w:bidi="ar-SA"/>
        </w:rPr>
        <w:t>本工程内在施工前需要与建设单位、设计单位确定相关制作效果，达到建设单位及设计单位要求效果后方可施工</w:t>
      </w:r>
      <w:r>
        <w:rPr>
          <w:rFonts w:hint="eastAsia" w:ascii="宋体" w:hAnsi="宋体" w:eastAsia="宋体" w:cs="宋体"/>
          <w:b w:val="0"/>
          <w:bCs/>
          <w:kern w:val="28"/>
          <w:sz w:val="24"/>
          <w:szCs w:val="24"/>
          <w:lang w:val="en-US" w:eastAsia="zh-CN" w:bidi="ar-SA"/>
        </w:rPr>
        <w:t>；</w:t>
      </w:r>
    </w:p>
    <w:p w14:paraId="5072CE67">
      <w:pPr>
        <w:numPr>
          <w:ilvl w:val="0"/>
          <w:numId w:val="3"/>
        </w:numPr>
        <w:tabs>
          <w:tab w:val="left" w:pos="1080"/>
          <w:tab w:val="left" w:pos="9180"/>
          <w:tab w:val="left" w:pos="9360"/>
        </w:tabs>
        <w:spacing w:line="360" w:lineRule="auto"/>
        <w:outlineLvl w:val="0"/>
        <w:rPr>
          <w:rFonts w:hint="eastAsia" w:ascii="宋体" w:hAnsi="宋体" w:eastAsia="宋体" w:cs="宋体"/>
          <w:b/>
          <w:bCs w:val="0"/>
          <w:kern w:val="28"/>
          <w:lang w:val="en-US" w:eastAsia="zh-CN"/>
        </w:rPr>
      </w:pPr>
      <w:r>
        <w:rPr>
          <w:rFonts w:hint="eastAsia" w:ascii="宋体" w:hAnsi="宋体" w:eastAsia="宋体" w:cs="宋体"/>
          <w:b/>
          <w:bCs w:val="0"/>
          <w:kern w:val="28"/>
          <w:lang w:val="en-US" w:eastAsia="zh-CN"/>
        </w:rPr>
        <w:t>以下工程的主要材料，根据招标人提供的品牌或厂家（或相当于该</w:t>
      </w:r>
    </w:p>
    <w:p w14:paraId="7474A877">
      <w:pPr>
        <w:numPr>
          <w:ilvl w:val="0"/>
          <w:numId w:val="0"/>
        </w:numPr>
        <w:tabs>
          <w:tab w:val="left" w:pos="1080"/>
          <w:tab w:val="left" w:pos="9180"/>
          <w:tab w:val="left" w:pos="9360"/>
        </w:tabs>
        <w:spacing w:line="360" w:lineRule="auto"/>
        <w:outlineLvl w:val="0"/>
        <w:rPr>
          <w:rFonts w:hint="eastAsia" w:ascii="宋体" w:hAnsi="宋体" w:eastAsia="宋体" w:cs="宋体"/>
          <w:b/>
          <w:bCs w:val="0"/>
          <w:kern w:val="28"/>
          <w:lang w:val="en-US" w:eastAsia="zh-CN"/>
        </w:rPr>
      </w:pPr>
      <w:r>
        <w:rPr>
          <w:rFonts w:hint="eastAsia" w:ascii="宋体" w:hAnsi="宋体" w:eastAsia="宋体" w:cs="宋体"/>
          <w:b/>
          <w:bCs w:val="0"/>
          <w:kern w:val="28"/>
          <w:lang w:val="en-US" w:eastAsia="zh-CN"/>
        </w:rPr>
        <w:t>品牌或厂家，必须经建设单位认可）、规格要求。具体品牌或厂家、规格见下表: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087"/>
        <w:gridCol w:w="3340"/>
        <w:gridCol w:w="1127"/>
      </w:tblGrid>
      <w:tr w14:paraId="12FE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8" w:type="dxa"/>
            <w:vAlign w:val="center"/>
          </w:tcPr>
          <w:p w14:paraId="75AA4236">
            <w:pPr>
              <w:widowControl w:val="0"/>
              <w:spacing w:line="240" w:lineRule="auto"/>
              <w:jc w:val="center"/>
              <w:rPr>
                <w:rFonts w:hint="default" w:eastAsia="宋体"/>
                <w:sz w:val="22"/>
                <w:szCs w:val="22"/>
                <w:vertAlign w:val="baseline"/>
                <w:lang w:val="en-US" w:eastAsia="zh-CN"/>
              </w:rPr>
            </w:pPr>
            <w:r>
              <w:rPr>
                <w:rFonts w:hint="eastAsia"/>
                <w:sz w:val="22"/>
                <w:szCs w:val="22"/>
                <w:vertAlign w:val="baseline"/>
                <w:lang w:val="en-US" w:eastAsia="zh-CN"/>
              </w:rPr>
              <w:t>序 号</w:t>
            </w:r>
          </w:p>
        </w:tc>
        <w:tc>
          <w:tcPr>
            <w:tcW w:w="3087" w:type="dxa"/>
            <w:vAlign w:val="center"/>
          </w:tcPr>
          <w:p w14:paraId="12F49311">
            <w:pPr>
              <w:widowControl w:val="0"/>
              <w:spacing w:line="240" w:lineRule="auto"/>
              <w:jc w:val="center"/>
              <w:rPr>
                <w:rFonts w:hint="eastAsia" w:eastAsia="宋体"/>
                <w:sz w:val="32"/>
                <w:szCs w:val="32"/>
                <w:vertAlign w:val="baseline"/>
                <w:lang w:val="en-US" w:eastAsia="zh-CN"/>
              </w:rPr>
            </w:pPr>
            <w:r>
              <w:rPr>
                <w:rFonts w:hint="eastAsia" w:ascii="宋体" w:hAnsi="宋体" w:eastAsia="宋体" w:cs="宋体"/>
                <w:sz w:val="22"/>
                <w:szCs w:val="22"/>
                <w:vertAlign w:val="baseline"/>
                <w:lang w:val="en-US" w:eastAsia="zh-CN"/>
              </w:rPr>
              <w:t>名    称</w:t>
            </w:r>
          </w:p>
        </w:tc>
        <w:tc>
          <w:tcPr>
            <w:tcW w:w="3340" w:type="dxa"/>
            <w:vAlign w:val="center"/>
          </w:tcPr>
          <w:p w14:paraId="6D736E71">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品牌或厂家</w:t>
            </w:r>
          </w:p>
        </w:tc>
        <w:tc>
          <w:tcPr>
            <w:tcW w:w="1127" w:type="dxa"/>
            <w:vAlign w:val="center"/>
          </w:tcPr>
          <w:p w14:paraId="4DD4A4D7">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备注</w:t>
            </w:r>
          </w:p>
        </w:tc>
      </w:tr>
      <w:tr w14:paraId="7615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148D25A5">
            <w:pPr>
              <w:widowControl w:val="0"/>
              <w:spacing w:line="240" w:lineRule="auto"/>
              <w:jc w:val="center"/>
              <w:rPr>
                <w:rFonts w:hint="eastAsia" w:ascii="宋体" w:hAnsi="宋体" w:eastAsia="宋体" w:cs="宋体"/>
                <w:sz w:val="22"/>
                <w:szCs w:val="22"/>
                <w:vertAlign w:val="baseline"/>
                <w:lang w:val="en-US" w:eastAsia="zh-CN"/>
              </w:rPr>
            </w:pPr>
          </w:p>
        </w:tc>
        <w:tc>
          <w:tcPr>
            <w:tcW w:w="3087" w:type="dxa"/>
            <w:vAlign w:val="center"/>
          </w:tcPr>
          <w:p w14:paraId="2ADFC16A">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建筑装饰工程</w:t>
            </w:r>
          </w:p>
        </w:tc>
        <w:tc>
          <w:tcPr>
            <w:tcW w:w="3340" w:type="dxa"/>
            <w:vAlign w:val="center"/>
          </w:tcPr>
          <w:p w14:paraId="2C60BBE6">
            <w:pPr>
              <w:widowControl w:val="0"/>
              <w:spacing w:line="240" w:lineRule="auto"/>
              <w:jc w:val="center"/>
              <w:rPr>
                <w:rFonts w:hint="eastAsia" w:ascii="宋体" w:hAnsi="宋体" w:eastAsia="宋体" w:cs="宋体"/>
                <w:sz w:val="22"/>
                <w:szCs w:val="22"/>
                <w:vertAlign w:val="baseline"/>
                <w:lang w:val="en-US" w:eastAsia="zh-CN"/>
              </w:rPr>
            </w:pPr>
          </w:p>
        </w:tc>
        <w:tc>
          <w:tcPr>
            <w:tcW w:w="1127" w:type="dxa"/>
            <w:vAlign w:val="center"/>
          </w:tcPr>
          <w:p w14:paraId="00C65ECA">
            <w:pPr>
              <w:widowControl w:val="0"/>
              <w:spacing w:line="240" w:lineRule="auto"/>
              <w:jc w:val="center"/>
              <w:rPr>
                <w:rFonts w:hint="eastAsia" w:ascii="宋体" w:hAnsi="宋体" w:eastAsia="宋体" w:cs="宋体"/>
                <w:sz w:val="22"/>
                <w:szCs w:val="22"/>
                <w:vertAlign w:val="baseline"/>
                <w:lang w:val="en-US" w:eastAsia="zh-CN"/>
              </w:rPr>
            </w:pPr>
          </w:p>
        </w:tc>
      </w:tr>
      <w:tr w14:paraId="18A9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57CFB4A0">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3087" w:type="dxa"/>
            <w:vAlign w:val="center"/>
          </w:tcPr>
          <w:p w14:paraId="03434659">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地砖、内墙砖</w:t>
            </w:r>
          </w:p>
        </w:tc>
        <w:tc>
          <w:tcPr>
            <w:tcW w:w="3340" w:type="dxa"/>
            <w:vAlign w:val="center"/>
          </w:tcPr>
          <w:p w14:paraId="5EFB97B1">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博德、冠军、马可波罗</w:t>
            </w:r>
            <w:r>
              <w:rPr>
                <w:rFonts w:hint="eastAsia" w:cs="宋体"/>
                <w:sz w:val="22"/>
                <w:szCs w:val="22"/>
                <w:vertAlign w:val="baseline"/>
                <w:lang w:val="en-US" w:eastAsia="zh-CN"/>
              </w:rPr>
              <w:t>、蒙娜丽莎</w:t>
            </w:r>
          </w:p>
        </w:tc>
        <w:tc>
          <w:tcPr>
            <w:tcW w:w="1127" w:type="dxa"/>
            <w:vAlign w:val="center"/>
          </w:tcPr>
          <w:p w14:paraId="4171F7D0">
            <w:pPr>
              <w:widowControl w:val="0"/>
              <w:spacing w:line="240" w:lineRule="auto"/>
              <w:jc w:val="center"/>
              <w:rPr>
                <w:rFonts w:hint="eastAsia" w:ascii="宋体" w:hAnsi="宋体" w:eastAsia="宋体" w:cs="宋体"/>
                <w:sz w:val="22"/>
                <w:szCs w:val="22"/>
                <w:vertAlign w:val="baseline"/>
                <w:lang w:val="en-US" w:eastAsia="zh-CN"/>
              </w:rPr>
            </w:pPr>
          </w:p>
        </w:tc>
      </w:tr>
      <w:tr w14:paraId="4C3C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4AF1CD76">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3087" w:type="dxa"/>
            <w:vAlign w:val="center"/>
          </w:tcPr>
          <w:p w14:paraId="6D5DE054">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防水材料</w:t>
            </w:r>
          </w:p>
        </w:tc>
        <w:tc>
          <w:tcPr>
            <w:tcW w:w="3340" w:type="dxa"/>
            <w:vAlign w:val="center"/>
          </w:tcPr>
          <w:p w14:paraId="4C40C9AE">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东方雨虹、赛力克、马贝、科顺</w:t>
            </w:r>
          </w:p>
        </w:tc>
        <w:tc>
          <w:tcPr>
            <w:tcW w:w="1127" w:type="dxa"/>
            <w:vAlign w:val="center"/>
          </w:tcPr>
          <w:p w14:paraId="40639AC0">
            <w:pPr>
              <w:widowControl w:val="0"/>
              <w:spacing w:line="240" w:lineRule="auto"/>
              <w:jc w:val="center"/>
              <w:rPr>
                <w:rFonts w:hint="eastAsia" w:ascii="宋体" w:hAnsi="宋体" w:eastAsia="宋体" w:cs="宋体"/>
                <w:sz w:val="22"/>
                <w:szCs w:val="22"/>
                <w:vertAlign w:val="baseline"/>
                <w:lang w:val="en-US" w:eastAsia="zh-CN"/>
              </w:rPr>
            </w:pPr>
          </w:p>
        </w:tc>
      </w:tr>
      <w:tr w14:paraId="6A6F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4520FD22">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3087" w:type="dxa"/>
            <w:vAlign w:val="center"/>
          </w:tcPr>
          <w:p w14:paraId="3E06088F">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铝合金材料</w:t>
            </w:r>
          </w:p>
        </w:tc>
        <w:tc>
          <w:tcPr>
            <w:tcW w:w="3340" w:type="dxa"/>
            <w:vAlign w:val="center"/>
          </w:tcPr>
          <w:p w14:paraId="1197EED9">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广亚、伟业、凤铝、兴发</w:t>
            </w:r>
          </w:p>
        </w:tc>
        <w:tc>
          <w:tcPr>
            <w:tcW w:w="1127" w:type="dxa"/>
            <w:vAlign w:val="center"/>
          </w:tcPr>
          <w:p w14:paraId="4C5C9A46">
            <w:pPr>
              <w:widowControl w:val="0"/>
              <w:spacing w:line="240" w:lineRule="auto"/>
              <w:jc w:val="center"/>
              <w:rPr>
                <w:rFonts w:hint="eastAsia" w:ascii="宋体" w:hAnsi="宋体" w:eastAsia="宋体" w:cs="宋体"/>
                <w:sz w:val="22"/>
                <w:szCs w:val="22"/>
                <w:vertAlign w:val="baseline"/>
                <w:lang w:val="en-US" w:eastAsia="zh-CN"/>
              </w:rPr>
            </w:pPr>
          </w:p>
        </w:tc>
      </w:tr>
      <w:tr w14:paraId="7F06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56D67C47">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3087" w:type="dxa"/>
            <w:vAlign w:val="center"/>
          </w:tcPr>
          <w:p w14:paraId="0E999204">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玻璃品牌</w:t>
            </w:r>
          </w:p>
        </w:tc>
        <w:tc>
          <w:tcPr>
            <w:tcW w:w="3340" w:type="dxa"/>
            <w:vAlign w:val="center"/>
          </w:tcPr>
          <w:p w14:paraId="35DADD6A">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杭玻、信义、南玻、上海耀皮</w:t>
            </w:r>
          </w:p>
        </w:tc>
        <w:tc>
          <w:tcPr>
            <w:tcW w:w="1127" w:type="dxa"/>
            <w:vAlign w:val="center"/>
          </w:tcPr>
          <w:p w14:paraId="75D43F2A">
            <w:pPr>
              <w:widowControl w:val="0"/>
              <w:spacing w:line="240" w:lineRule="auto"/>
              <w:jc w:val="center"/>
              <w:rPr>
                <w:rFonts w:hint="eastAsia" w:ascii="宋体" w:hAnsi="宋体" w:eastAsia="宋体" w:cs="宋体"/>
                <w:sz w:val="22"/>
                <w:szCs w:val="22"/>
                <w:vertAlign w:val="baseline"/>
                <w:lang w:val="en-US" w:eastAsia="zh-CN"/>
              </w:rPr>
            </w:pPr>
          </w:p>
        </w:tc>
      </w:tr>
      <w:tr w14:paraId="3D43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1D27F536">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w:t>
            </w:r>
          </w:p>
        </w:tc>
        <w:tc>
          <w:tcPr>
            <w:tcW w:w="3087" w:type="dxa"/>
            <w:vAlign w:val="center"/>
          </w:tcPr>
          <w:p w14:paraId="13CAF6B7">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涂料</w:t>
            </w:r>
          </w:p>
        </w:tc>
        <w:tc>
          <w:tcPr>
            <w:tcW w:w="3340" w:type="dxa"/>
            <w:vAlign w:val="center"/>
          </w:tcPr>
          <w:p w14:paraId="1A0DE836">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三棵树、立邦、多乐士</w:t>
            </w:r>
          </w:p>
        </w:tc>
        <w:tc>
          <w:tcPr>
            <w:tcW w:w="1127" w:type="dxa"/>
            <w:vAlign w:val="center"/>
          </w:tcPr>
          <w:p w14:paraId="52D48712">
            <w:pPr>
              <w:widowControl w:val="0"/>
              <w:spacing w:line="240" w:lineRule="auto"/>
              <w:jc w:val="center"/>
              <w:rPr>
                <w:rFonts w:hint="eastAsia" w:ascii="宋体" w:hAnsi="宋体" w:eastAsia="宋体" w:cs="宋体"/>
                <w:sz w:val="22"/>
                <w:szCs w:val="22"/>
                <w:vertAlign w:val="baseline"/>
                <w:lang w:val="en-US" w:eastAsia="zh-CN"/>
              </w:rPr>
            </w:pPr>
          </w:p>
        </w:tc>
      </w:tr>
      <w:tr w14:paraId="32DF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02A7BCC5">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p>
        </w:tc>
        <w:tc>
          <w:tcPr>
            <w:tcW w:w="3087" w:type="dxa"/>
            <w:vAlign w:val="center"/>
          </w:tcPr>
          <w:p w14:paraId="4D1B833D">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钢材（钢筋、型钢）</w:t>
            </w:r>
          </w:p>
        </w:tc>
        <w:tc>
          <w:tcPr>
            <w:tcW w:w="3340" w:type="dxa"/>
            <w:vAlign w:val="center"/>
          </w:tcPr>
          <w:p w14:paraId="384531E5">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宝钢、中天、永钢、上钢</w:t>
            </w:r>
          </w:p>
        </w:tc>
        <w:tc>
          <w:tcPr>
            <w:tcW w:w="1127" w:type="dxa"/>
            <w:vAlign w:val="center"/>
          </w:tcPr>
          <w:p w14:paraId="5CFB3AD0">
            <w:pPr>
              <w:widowControl w:val="0"/>
              <w:spacing w:line="240" w:lineRule="auto"/>
              <w:jc w:val="center"/>
              <w:rPr>
                <w:rFonts w:hint="eastAsia" w:ascii="宋体" w:hAnsi="宋体" w:eastAsia="宋体" w:cs="宋体"/>
                <w:sz w:val="22"/>
                <w:szCs w:val="22"/>
                <w:vertAlign w:val="baseline"/>
                <w:lang w:val="en-US" w:eastAsia="zh-CN"/>
              </w:rPr>
            </w:pPr>
          </w:p>
        </w:tc>
      </w:tr>
      <w:tr w14:paraId="338A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68" w:type="dxa"/>
            <w:vAlign w:val="center"/>
          </w:tcPr>
          <w:p w14:paraId="55D3F3C3">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w:t>
            </w:r>
          </w:p>
        </w:tc>
        <w:tc>
          <w:tcPr>
            <w:tcW w:w="3087" w:type="dxa"/>
            <w:vAlign w:val="center"/>
          </w:tcPr>
          <w:p w14:paraId="343D4677">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水泥</w:t>
            </w:r>
          </w:p>
        </w:tc>
        <w:tc>
          <w:tcPr>
            <w:tcW w:w="3340" w:type="dxa"/>
            <w:vAlign w:val="center"/>
          </w:tcPr>
          <w:p w14:paraId="503C02E2">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南方、三狮、海螺</w:t>
            </w:r>
          </w:p>
        </w:tc>
        <w:tc>
          <w:tcPr>
            <w:tcW w:w="1127" w:type="dxa"/>
            <w:vAlign w:val="center"/>
          </w:tcPr>
          <w:p w14:paraId="252A7C78">
            <w:pPr>
              <w:widowControl w:val="0"/>
              <w:spacing w:line="240" w:lineRule="auto"/>
              <w:jc w:val="center"/>
              <w:rPr>
                <w:rFonts w:hint="eastAsia" w:ascii="宋体" w:hAnsi="宋体" w:eastAsia="宋体" w:cs="宋体"/>
                <w:sz w:val="22"/>
                <w:szCs w:val="22"/>
                <w:vertAlign w:val="baseline"/>
                <w:lang w:val="en-US" w:eastAsia="zh-CN"/>
              </w:rPr>
            </w:pPr>
          </w:p>
        </w:tc>
      </w:tr>
      <w:tr w14:paraId="3D24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05E9101C">
            <w:pPr>
              <w:widowControl w:val="0"/>
              <w:spacing w:line="240" w:lineRule="auto"/>
              <w:jc w:val="center"/>
              <w:rPr>
                <w:rFonts w:hint="default" w:ascii="宋体" w:hAnsi="宋体" w:eastAsia="宋体" w:cs="宋体"/>
                <w:sz w:val="22"/>
                <w:szCs w:val="22"/>
                <w:vertAlign w:val="baseline"/>
                <w:lang w:val="en-US" w:eastAsia="zh-CN"/>
              </w:rPr>
            </w:pPr>
            <w:r>
              <w:rPr>
                <w:rFonts w:hint="eastAsia" w:cs="宋体"/>
                <w:sz w:val="22"/>
                <w:szCs w:val="22"/>
                <w:vertAlign w:val="baseline"/>
                <w:lang w:val="en-US" w:eastAsia="zh-CN"/>
              </w:rPr>
              <w:t>8</w:t>
            </w:r>
          </w:p>
        </w:tc>
        <w:tc>
          <w:tcPr>
            <w:tcW w:w="3087" w:type="dxa"/>
            <w:shd w:val="clear" w:color="auto" w:fill="auto"/>
            <w:vAlign w:val="center"/>
          </w:tcPr>
          <w:p w14:paraId="5CE5530C">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木门</w:t>
            </w:r>
          </w:p>
        </w:tc>
        <w:tc>
          <w:tcPr>
            <w:tcW w:w="3340" w:type="dxa"/>
            <w:shd w:val="clear" w:color="auto" w:fill="auto"/>
            <w:vAlign w:val="center"/>
          </w:tcPr>
          <w:p w14:paraId="0A251DA2">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美心、欧派、金迪</w:t>
            </w:r>
          </w:p>
        </w:tc>
        <w:tc>
          <w:tcPr>
            <w:tcW w:w="1127" w:type="dxa"/>
            <w:vAlign w:val="center"/>
          </w:tcPr>
          <w:p w14:paraId="68A8CD9B">
            <w:pPr>
              <w:widowControl w:val="0"/>
              <w:spacing w:line="240" w:lineRule="auto"/>
              <w:jc w:val="center"/>
              <w:rPr>
                <w:rFonts w:hint="eastAsia" w:ascii="宋体" w:hAnsi="宋体" w:eastAsia="宋体" w:cs="宋体"/>
                <w:sz w:val="22"/>
                <w:szCs w:val="22"/>
                <w:vertAlign w:val="baseline"/>
                <w:lang w:val="en-US" w:eastAsia="zh-CN"/>
              </w:rPr>
            </w:pPr>
          </w:p>
        </w:tc>
      </w:tr>
      <w:tr w14:paraId="4D7A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4A8BCDCA">
            <w:pPr>
              <w:widowControl w:val="0"/>
              <w:spacing w:line="240" w:lineRule="auto"/>
              <w:jc w:val="center"/>
              <w:rPr>
                <w:rFonts w:hint="default" w:ascii="宋体" w:hAnsi="宋体" w:eastAsia="宋体" w:cs="宋体"/>
                <w:sz w:val="22"/>
                <w:szCs w:val="22"/>
                <w:vertAlign w:val="baseline"/>
                <w:lang w:val="en-US" w:eastAsia="zh-CN"/>
              </w:rPr>
            </w:pPr>
            <w:r>
              <w:rPr>
                <w:rFonts w:hint="eastAsia" w:cs="宋体"/>
                <w:sz w:val="22"/>
                <w:szCs w:val="22"/>
                <w:vertAlign w:val="baseline"/>
                <w:lang w:val="en-US" w:eastAsia="zh-CN"/>
              </w:rPr>
              <w:t>9</w:t>
            </w:r>
          </w:p>
        </w:tc>
        <w:tc>
          <w:tcPr>
            <w:tcW w:w="3087" w:type="dxa"/>
            <w:shd w:val="clear" w:color="auto" w:fill="auto"/>
            <w:vAlign w:val="center"/>
          </w:tcPr>
          <w:p w14:paraId="4EF9BC99">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石膏板</w:t>
            </w:r>
          </w:p>
        </w:tc>
        <w:tc>
          <w:tcPr>
            <w:tcW w:w="3340" w:type="dxa"/>
            <w:shd w:val="clear" w:color="auto" w:fill="auto"/>
            <w:vAlign w:val="center"/>
          </w:tcPr>
          <w:p w14:paraId="2CBC1B60">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可耐福、拉法基、圣戈班、龙牌</w:t>
            </w:r>
          </w:p>
        </w:tc>
        <w:tc>
          <w:tcPr>
            <w:tcW w:w="1127" w:type="dxa"/>
            <w:vAlign w:val="center"/>
          </w:tcPr>
          <w:p w14:paraId="1FC7E739">
            <w:pPr>
              <w:widowControl w:val="0"/>
              <w:spacing w:line="240" w:lineRule="auto"/>
              <w:jc w:val="center"/>
              <w:rPr>
                <w:rFonts w:hint="eastAsia" w:ascii="宋体" w:hAnsi="宋体" w:eastAsia="宋体" w:cs="宋体"/>
                <w:sz w:val="22"/>
                <w:szCs w:val="22"/>
                <w:vertAlign w:val="baseline"/>
                <w:lang w:val="en-US" w:eastAsia="zh-CN"/>
              </w:rPr>
            </w:pPr>
          </w:p>
        </w:tc>
      </w:tr>
      <w:tr w14:paraId="13CC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516A8325">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r>
              <w:rPr>
                <w:rFonts w:hint="eastAsia" w:cs="宋体"/>
                <w:sz w:val="22"/>
                <w:szCs w:val="22"/>
                <w:vertAlign w:val="baseline"/>
                <w:lang w:val="en-US" w:eastAsia="zh-CN"/>
              </w:rPr>
              <w:t>0</w:t>
            </w:r>
          </w:p>
        </w:tc>
        <w:tc>
          <w:tcPr>
            <w:tcW w:w="3087" w:type="dxa"/>
            <w:shd w:val="clear" w:color="auto" w:fill="auto"/>
            <w:vAlign w:val="center"/>
          </w:tcPr>
          <w:p w14:paraId="2A78E46A">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轻钢龙骨</w:t>
            </w:r>
          </w:p>
        </w:tc>
        <w:tc>
          <w:tcPr>
            <w:tcW w:w="3340" w:type="dxa"/>
            <w:shd w:val="clear" w:color="auto" w:fill="auto"/>
            <w:vAlign w:val="center"/>
          </w:tcPr>
          <w:p w14:paraId="7AFC99A6">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可耐福、拉法基、圣戈班、龙牌</w:t>
            </w:r>
          </w:p>
        </w:tc>
        <w:tc>
          <w:tcPr>
            <w:tcW w:w="1127" w:type="dxa"/>
            <w:vAlign w:val="center"/>
          </w:tcPr>
          <w:p w14:paraId="2051D47C">
            <w:pPr>
              <w:widowControl w:val="0"/>
              <w:spacing w:line="240" w:lineRule="auto"/>
              <w:jc w:val="center"/>
              <w:rPr>
                <w:rFonts w:hint="eastAsia" w:ascii="宋体" w:hAnsi="宋体" w:eastAsia="宋体" w:cs="宋体"/>
                <w:sz w:val="22"/>
                <w:szCs w:val="22"/>
                <w:vertAlign w:val="baseline"/>
                <w:lang w:val="en-US" w:eastAsia="zh-CN"/>
              </w:rPr>
            </w:pPr>
          </w:p>
        </w:tc>
      </w:tr>
      <w:tr w14:paraId="3BD2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0C56200F">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r>
              <w:rPr>
                <w:rFonts w:hint="eastAsia" w:cs="宋体"/>
                <w:sz w:val="22"/>
                <w:szCs w:val="22"/>
                <w:vertAlign w:val="baseline"/>
                <w:lang w:val="en-US" w:eastAsia="zh-CN"/>
              </w:rPr>
              <w:t>1</w:t>
            </w:r>
          </w:p>
        </w:tc>
        <w:tc>
          <w:tcPr>
            <w:tcW w:w="3087" w:type="dxa"/>
            <w:shd w:val="clear" w:color="auto" w:fill="auto"/>
            <w:vAlign w:val="center"/>
          </w:tcPr>
          <w:p w14:paraId="1D9B666F">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木工板</w:t>
            </w:r>
          </w:p>
        </w:tc>
        <w:tc>
          <w:tcPr>
            <w:tcW w:w="3340" w:type="dxa"/>
            <w:shd w:val="clear" w:color="auto" w:fill="auto"/>
            <w:vAlign w:val="center"/>
          </w:tcPr>
          <w:p w14:paraId="01948397">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兔宝宝、千年舟、莫干山</w:t>
            </w:r>
          </w:p>
        </w:tc>
        <w:tc>
          <w:tcPr>
            <w:tcW w:w="1127" w:type="dxa"/>
            <w:vAlign w:val="center"/>
          </w:tcPr>
          <w:p w14:paraId="0C882648">
            <w:pPr>
              <w:widowControl w:val="0"/>
              <w:spacing w:line="240" w:lineRule="auto"/>
              <w:jc w:val="center"/>
              <w:rPr>
                <w:rFonts w:hint="eastAsia" w:ascii="宋体" w:hAnsi="宋体" w:eastAsia="宋体" w:cs="宋体"/>
                <w:sz w:val="22"/>
                <w:szCs w:val="22"/>
                <w:vertAlign w:val="baseline"/>
                <w:lang w:val="en-US" w:eastAsia="zh-CN"/>
              </w:rPr>
            </w:pPr>
          </w:p>
        </w:tc>
      </w:tr>
      <w:tr w14:paraId="6C99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771E01C7">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r>
              <w:rPr>
                <w:rFonts w:hint="eastAsia" w:cs="宋体"/>
                <w:sz w:val="22"/>
                <w:szCs w:val="22"/>
                <w:vertAlign w:val="baseline"/>
                <w:lang w:val="en-US" w:eastAsia="zh-CN"/>
              </w:rPr>
              <w:t>2</w:t>
            </w:r>
          </w:p>
        </w:tc>
        <w:tc>
          <w:tcPr>
            <w:tcW w:w="3087" w:type="dxa"/>
            <w:vAlign w:val="center"/>
          </w:tcPr>
          <w:p w14:paraId="49FF4E30">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门锁</w:t>
            </w:r>
          </w:p>
        </w:tc>
        <w:tc>
          <w:tcPr>
            <w:tcW w:w="3340" w:type="dxa"/>
            <w:vAlign w:val="center"/>
          </w:tcPr>
          <w:p w14:paraId="1F47DE59">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顶固、汇泰龙、坚朗、多玛</w:t>
            </w:r>
          </w:p>
        </w:tc>
        <w:tc>
          <w:tcPr>
            <w:tcW w:w="1127" w:type="dxa"/>
            <w:vAlign w:val="center"/>
          </w:tcPr>
          <w:p w14:paraId="2C10F43E">
            <w:pPr>
              <w:widowControl w:val="0"/>
              <w:spacing w:line="240" w:lineRule="auto"/>
              <w:jc w:val="center"/>
              <w:rPr>
                <w:rFonts w:hint="eastAsia" w:ascii="宋体" w:hAnsi="宋体" w:eastAsia="宋体" w:cs="宋体"/>
                <w:sz w:val="22"/>
                <w:szCs w:val="22"/>
                <w:vertAlign w:val="baseline"/>
                <w:lang w:val="en-US" w:eastAsia="zh-CN"/>
              </w:rPr>
            </w:pPr>
          </w:p>
        </w:tc>
      </w:tr>
      <w:tr w14:paraId="3578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07F36A14">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r>
              <w:rPr>
                <w:rFonts w:hint="eastAsia" w:cs="宋体"/>
                <w:sz w:val="22"/>
                <w:szCs w:val="22"/>
                <w:vertAlign w:val="baseline"/>
                <w:lang w:val="en-US" w:eastAsia="zh-CN"/>
              </w:rPr>
              <w:t>3</w:t>
            </w:r>
          </w:p>
        </w:tc>
        <w:tc>
          <w:tcPr>
            <w:tcW w:w="3087" w:type="dxa"/>
            <w:vAlign w:val="center"/>
          </w:tcPr>
          <w:p w14:paraId="7F10BDA0">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五金件</w:t>
            </w:r>
          </w:p>
        </w:tc>
        <w:tc>
          <w:tcPr>
            <w:tcW w:w="3340" w:type="dxa"/>
            <w:vAlign w:val="center"/>
          </w:tcPr>
          <w:p w14:paraId="6C569691">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顶固、汇泰龙、坚朗、多玛</w:t>
            </w:r>
          </w:p>
        </w:tc>
        <w:tc>
          <w:tcPr>
            <w:tcW w:w="1127" w:type="dxa"/>
            <w:vAlign w:val="center"/>
          </w:tcPr>
          <w:p w14:paraId="21B23CDA">
            <w:pPr>
              <w:widowControl w:val="0"/>
              <w:spacing w:line="240" w:lineRule="auto"/>
              <w:jc w:val="center"/>
              <w:rPr>
                <w:rFonts w:hint="eastAsia" w:ascii="宋体" w:hAnsi="宋体" w:eastAsia="宋体" w:cs="宋体"/>
                <w:sz w:val="22"/>
                <w:szCs w:val="22"/>
                <w:vertAlign w:val="baseline"/>
                <w:lang w:val="en-US" w:eastAsia="zh-CN"/>
              </w:rPr>
            </w:pPr>
          </w:p>
        </w:tc>
      </w:tr>
      <w:tr w14:paraId="50A9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68" w:type="dxa"/>
            <w:vAlign w:val="center"/>
          </w:tcPr>
          <w:p w14:paraId="59B60C85">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r>
              <w:rPr>
                <w:rFonts w:hint="eastAsia" w:cs="宋体"/>
                <w:sz w:val="22"/>
                <w:szCs w:val="22"/>
                <w:vertAlign w:val="baseline"/>
                <w:lang w:val="en-US" w:eastAsia="zh-CN"/>
              </w:rPr>
              <w:t>4</w:t>
            </w:r>
          </w:p>
        </w:tc>
        <w:tc>
          <w:tcPr>
            <w:tcW w:w="3087" w:type="dxa"/>
            <w:vAlign w:val="center"/>
          </w:tcPr>
          <w:p w14:paraId="3685CFD3">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不锈钢</w:t>
            </w:r>
          </w:p>
        </w:tc>
        <w:tc>
          <w:tcPr>
            <w:tcW w:w="3340" w:type="dxa"/>
            <w:vAlign w:val="center"/>
          </w:tcPr>
          <w:p w14:paraId="338E632C">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乐思龙、鞍钢、阿法拉伐、宝武</w:t>
            </w:r>
          </w:p>
        </w:tc>
        <w:tc>
          <w:tcPr>
            <w:tcW w:w="1127" w:type="dxa"/>
            <w:vAlign w:val="center"/>
          </w:tcPr>
          <w:p w14:paraId="3F78DB95">
            <w:pPr>
              <w:widowControl w:val="0"/>
              <w:spacing w:line="240" w:lineRule="auto"/>
              <w:jc w:val="center"/>
              <w:rPr>
                <w:rFonts w:hint="eastAsia" w:ascii="宋体" w:hAnsi="宋体" w:eastAsia="宋体" w:cs="宋体"/>
                <w:sz w:val="22"/>
                <w:szCs w:val="22"/>
                <w:vertAlign w:val="baseline"/>
                <w:lang w:val="en-US" w:eastAsia="zh-CN"/>
              </w:rPr>
            </w:pPr>
          </w:p>
        </w:tc>
      </w:tr>
      <w:tr w14:paraId="2A0C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68" w:type="dxa"/>
            <w:vAlign w:val="center"/>
          </w:tcPr>
          <w:p w14:paraId="33CE1C30">
            <w:pPr>
              <w:widowControl w:val="0"/>
              <w:spacing w:line="240" w:lineRule="auto"/>
              <w:jc w:val="center"/>
              <w:rPr>
                <w:rFonts w:hint="eastAsia" w:ascii="宋体" w:hAnsi="宋体" w:eastAsia="宋体" w:cs="宋体"/>
                <w:sz w:val="22"/>
                <w:szCs w:val="22"/>
                <w:vertAlign w:val="baseline"/>
                <w:lang w:val="en-US" w:eastAsia="zh-CN"/>
              </w:rPr>
            </w:pPr>
            <w:r>
              <w:rPr>
                <w:rFonts w:hint="eastAsia" w:cs="宋体"/>
                <w:sz w:val="22"/>
                <w:szCs w:val="22"/>
                <w:vertAlign w:val="baseline"/>
                <w:lang w:val="en-US" w:eastAsia="zh-CN"/>
              </w:rPr>
              <w:t>15</w:t>
            </w:r>
          </w:p>
        </w:tc>
        <w:tc>
          <w:tcPr>
            <w:tcW w:w="3087" w:type="dxa"/>
            <w:vAlign w:val="center"/>
          </w:tcPr>
          <w:p w14:paraId="7AE33B0B">
            <w:pPr>
              <w:widowControl w:val="0"/>
              <w:spacing w:line="240" w:lineRule="auto"/>
              <w:jc w:val="center"/>
              <w:rPr>
                <w:rFonts w:hint="eastAsia" w:ascii="宋体" w:hAnsi="宋体" w:eastAsia="宋体" w:cs="宋体"/>
                <w:sz w:val="22"/>
                <w:szCs w:val="22"/>
                <w:vertAlign w:val="baseline"/>
                <w:lang w:val="en-US" w:eastAsia="zh-CN"/>
              </w:rPr>
            </w:pPr>
            <w:r>
              <w:rPr>
                <w:rFonts w:hint="eastAsia" w:cs="宋体"/>
                <w:sz w:val="22"/>
                <w:szCs w:val="22"/>
                <w:vertAlign w:val="baseline"/>
                <w:lang w:val="en-US" w:eastAsia="zh-CN"/>
              </w:rPr>
              <w:t>竹木纤维集成板</w:t>
            </w:r>
          </w:p>
        </w:tc>
        <w:tc>
          <w:tcPr>
            <w:tcW w:w="3340" w:type="dxa"/>
            <w:vAlign w:val="center"/>
          </w:tcPr>
          <w:p w14:paraId="37853A56">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创璟、钱江潮、勒泰</w:t>
            </w:r>
          </w:p>
        </w:tc>
        <w:tc>
          <w:tcPr>
            <w:tcW w:w="1127" w:type="dxa"/>
            <w:vAlign w:val="center"/>
          </w:tcPr>
          <w:p w14:paraId="784C293C">
            <w:pPr>
              <w:widowControl w:val="0"/>
              <w:spacing w:line="240" w:lineRule="auto"/>
              <w:jc w:val="center"/>
              <w:rPr>
                <w:rFonts w:hint="eastAsia" w:ascii="宋体" w:hAnsi="宋体" w:eastAsia="宋体" w:cs="宋体"/>
                <w:sz w:val="22"/>
                <w:szCs w:val="22"/>
                <w:vertAlign w:val="baseline"/>
                <w:lang w:val="en-US" w:eastAsia="zh-CN"/>
              </w:rPr>
            </w:pPr>
          </w:p>
        </w:tc>
      </w:tr>
      <w:tr w14:paraId="02B2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vAlign w:val="center"/>
          </w:tcPr>
          <w:p w14:paraId="38E94DE9">
            <w:pPr>
              <w:widowControl w:val="0"/>
              <w:spacing w:line="240" w:lineRule="auto"/>
              <w:jc w:val="center"/>
              <w:rPr>
                <w:rFonts w:hint="default" w:ascii="宋体" w:hAnsi="宋体" w:eastAsia="宋体" w:cs="宋体"/>
                <w:sz w:val="22"/>
                <w:szCs w:val="22"/>
                <w:vertAlign w:val="baseline"/>
                <w:lang w:val="en-US" w:eastAsia="zh-CN"/>
              </w:rPr>
            </w:pPr>
          </w:p>
        </w:tc>
        <w:tc>
          <w:tcPr>
            <w:tcW w:w="3087" w:type="dxa"/>
            <w:vAlign w:val="center"/>
          </w:tcPr>
          <w:p w14:paraId="60155D84">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安装工程</w:t>
            </w:r>
          </w:p>
        </w:tc>
        <w:tc>
          <w:tcPr>
            <w:tcW w:w="3340" w:type="dxa"/>
            <w:vAlign w:val="center"/>
          </w:tcPr>
          <w:p w14:paraId="58D715C0">
            <w:pPr>
              <w:widowControl w:val="0"/>
              <w:spacing w:line="240" w:lineRule="auto"/>
              <w:jc w:val="center"/>
              <w:rPr>
                <w:rFonts w:hint="eastAsia" w:ascii="宋体" w:hAnsi="宋体" w:eastAsia="宋体" w:cs="宋体"/>
                <w:sz w:val="22"/>
                <w:szCs w:val="22"/>
                <w:vertAlign w:val="baseline"/>
                <w:lang w:val="en-US" w:eastAsia="zh-CN"/>
              </w:rPr>
            </w:pPr>
          </w:p>
        </w:tc>
        <w:tc>
          <w:tcPr>
            <w:tcW w:w="1127" w:type="dxa"/>
            <w:vAlign w:val="center"/>
          </w:tcPr>
          <w:p w14:paraId="19C3FA1E">
            <w:pPr>
              <w:widowControl w:val="0"/>
              <w:spacing w:line="240" w:lineRule="auto"/>
              <w:jc w:val="center"/>
              <w:rPr>
                <w:rFonts w:hint="eastAsia" w:ascii="宋体" w:hAnsi="宋体" w:eastAsia="宋体" w:cs="宋体"/>
                <w:sz w:val="22"/>
                <w:szCs w:val="22"/>
                <w:vertAlign w:val="baseline"/>
                <w:lang w:val="en-US" w:eastAsia="zh-CN"/>
              </w:rPr>
            </w:pPr>
          </w:p>
        </w:tc>
      </w:tr>
      <w:tr w14:paraId="0359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shd w:val="clear" w:color="auto" w:fill="auto"/>
            <w:vAlign w:val="center"/>
          </w:tcPr>
          <w:p w14:paraId="06E02B85">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3087" w:type="dxa"/>
            <w:shd w:val="clear" w:color="auto" w:fill="auto"/>
            <w:vAlign w:val="center"/>
          </w:tcPr>
          <w:p w14:paraId="619787FD">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桥架</w:t>
            </w:r>
          </w:p>
        </w:tc>
        <w:tc>
          <w:tcPr>
            <w:tcW w:w="3340" w:type="dxa"/>
            <w:shd w:val="clear" w:color="auto" w:fill="auto"/>
            <w:vAlign w:val="center"/>
          </w:tcPr>
          <w:p w14:paraId="39B72676">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远大、成翔、恒发</w:t>
            </w:r>
          </w:p>
        </w:tc>
        <w:tc>
          <w:tcPr>
            <w:tcW w:w="1127" w:type="dxa"/>
            <w:vAlign w:val="center"/>
          </w:tcPr>
          <w:p w14:paraId="7DAE7CE9">
            <w:pPr>
              <w:widowControl w:val="0"/>
              <w:spacing w:line="240" w:lineRule="auto"/>
              <w:jc w:val="center"/>
              <w:rPr>
                <w:rFonts w:hint="eastAsia" w:ascii="宋体" w:hAnsi="宋体" w:eastAsia="宋体" w:cs="宋体"/>
                <w:sz w:val="22"/>
                <w:szCs w:val="22"/>
                <w:vertAlign w:val="baseline"/>
                <w:lang w:val="en-US" w:eastAsia="zh-CN"/>
              </w:rPr>
            </w:pPr>
          </w:p>
        </w:tc>
      </w:tr>
      <w:tr w14:paraId="6348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shd w:val="clear" w:color="auto" w:fill="auto"/>
            <w:vAlign w:val="center"/>
          </w:tcPr>
          <w:p w14:paraId="465E509C">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3087" w:type="dxa"/>
            <w:shd w:val="clear" w:color="auto" w:fill="auto"/>
            <w:vAlign w:val="center"/>
          </w:tcPr>
          <w:p w14:paraId="199DEF0B">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电线、电缆</w:t>
            </w:r>
          </w:p>
        </w:tc>
        <w:tc>
          <w:tcPr>
            <w:tcW w:w="3340" w:type="dxa"/>
            <w:shd w:val="clear" w:color="auto" w:fill="auto"/>
            <w:vAlign w:val="center"/>
          </w:tcPr>
          <w:p w14:paraId="6064EFF1">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中策、永通、万马</w:t>
            </w:r>
          </w:p>
        </w:tc>
        <w:tc>
          <w:tcPr>
            <w:tcW w:w="1127" w:type="dxa"/>
            <w:vAlign w:val="center"/>
          </w:tcPr>
          <w:p w14:paraId="6E367D3B">
            <w:pPr>
              <w:widowControl w:val="0"/>
              <w:spacing w:line="240" w:lineRule="auto"/>
              <w:jc w:val="center"/>
              <w:rPr>
                <w:rFonts w:hint="eastAsia" w:ascii="宋体" w:hAnsi="宋体" w:eastAsia="宋体" w:cs="宋体"/>
                <w:sz w:val="22"/>
                <w:szCs w:val="22"/>
                <w:vertAlign w:val="baseline"/>
                <w:lang w:val="en-US" w:eastAsia="zh-CN"/>
              </w:rPr>
            </w:pPr>
          </w:p>
        </w:tc>
      </w:tr>
      <w:tr w14:paraId="379A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shd w:val="clear" w:color="auto" w:fill="auto"/>
            <w:vAlign w:val="center"/>
          </w:tcPr>
          <w:p w14:paraId="2BF5DE78">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3087" w:type="dxa"/>
            <w:shd w:val="clear" w:color="auto" w:fill="auto"/>
            <w:vAlign w:val="center"/>
          </w:tcPr>
          <w:p w14:paraId="1343EB91">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开关、插座</w:t>
            </w:r>
          </w:p>
        </w:tc>
        <w:tc>
          <w:tcPr>
            <w:tcW w:w="3340" w:type="dxa"/>
            <w:shd w:val="clear" w:color="auto" w:fill="auto"/>
            <w:vAlign w:val="center"/>
          </w:tcPr>
          <w:p w14:paraId="2F784D9A">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鸿雁、TCL、正泰</w:t>
            </w:r>
          </w:p>
        </w:tc>
        <w:tc>
          <w:tcPr>
            <w:tcW w:w="1127" w:type="dxa"/>
            <w:vAlign w:val="center"/>
          </w:tcPr>
          <w:p w14:paraId="088FD71A">
            <w:pPr>
              <w:widowControl w:val="0"/>
              <w:spacing w:line="240" w:lineRule="auto"/>
              <w:jc w:val="center"/>
              <w:rPr>
                <w:rFonts w:hint="eastAsia" w:ascii="宋体" w:hAnsi="宋体" w:eastAsia="宋体" w:cs="宋体"/>
                <w:sz w:val="22"/>
                <w:szCs w:val="22"/>
                <w:vertAlign w:val="baseline"/>
                <w:lang w:val="en-US" w:eastAsia="zh-CN"/>
              </w:rPr>
            </w:pPr>
          </w:p>
        </w:tc>
      </w:tr>
      <w:tr w14:paraId="3188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shd w:val="clear" w:color="auto" w:fill="auto"/>
            <w:vAlign w:val="center"/>
          </w:tcPr>
          <w:p w14:paraId="6DC61C5A">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3087" w:type="dxa"/>
            <w:shd w:val="clear" w:color="auto" w:fill="auto"/>
            <w:vAlign w:val="center"/>
          </w:tcPr>
          <w:p w14:paraId="06C58CAA">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应急照明灯具</w:t>
            </w:r>
          </w:p>
        </w:tc>
        <w:tc>
          <w:tcPr>
            <w:tcW w:w="3340" w:type="dxa"/>
            <w:shd w:val="clear" w:color="auto" w:fill="auto"/>
            <w:vAlign w:val="center"/>
          </w:tcPr>
          <w:p w14:paraId="30510F82">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台宜、中川、久远</w:t>
            </w:r>
          </w:p>
        </w:tc>
        <w:tc>
          <w:tcPr>
            <w:tcW w:w="1127" w:type="dxa"/>
            <w:vAlign w:val="center"/>
          </w:tcPr>
          <w:p w14:paraId="25B6A869">
            <w:pPr>
              <w:widowControl w:val="0"/>
              <w:spacing w:line="240" w:lineRule="auto"/>
              <w:jc w:val="center"/>
              <w:rPr>
                <w:rFonts w:hint="eastAsia" w:ascii="宋体" w:hAnsi="宋体" w:eastAsia="宋体" w:cs="宋体"/>
                <w:sz w:val="22"/>
                <w:szCs w:val="22"/>
                <w:vertAlign w:val="baseline"/>
                <w:lang w:val="en-US" w:eastAsia="zh-CN"/>
              </w:rPr>
            </w:pPr>
          </w:p>
        </w:tc>
      </w:tr>
      <w:tr w14:paraId="009B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8" w:type="dxa"/>
            <w:shd w:val="clear" w:color="auto" w:fill="auto"/>
            <w:vAlign w:val="center"/>
          </w:tcPr>
          <w:p w14:paraId="2CB13805">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w:t>
            </w:r>
          </w:p>
        </w:tc>
        <w:tc>
          <w:tcPr>
            <w:tcW w:w="3087" w:type="dxa"/>
            <w:shd w:val="clear" w:color="auto" w:fill="auto"/>
            <w:vAlign w:val="center"/>
          </w:tcPr>
          <w:p w14:paraId="25D3AC63">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照明灯具</w:t>
            </w:r>
          </w:p>
        </w:tc>
        <w:tc>
          <w:tcPr>
            <w:tcW w:w="3340" w:type="dxa"/>
            <w:shd w:val="clear" w:color="auto" w:fill="auto"/>
            <w:vAlign w:val="center"/>
          </w:tcPr>
          <w:p w14:paraId="15718F1F">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三雄极光、雷士、TCL、欧普</w:t>
            </w:r>
          </w:p>
        </w:tc>
        <w:tc>
          <w:tcPr>
            <w:tcW w:w="1127" w:type="dxa"/>
            <w:vAlign w:val="center"/>
          </w:tcPr>
          <w:p w14:paraId="10CF7F49">
            <w:pPr>
              <w:widowControl w:val="0"/>
              <w:spacing w:line="240" w:lineRule="auto"/>
              <w:jc w:val="center"/>
              <w:rPr>
                <w:rFonts w:hint="eastAsia" w:ascii="宋体" w:hAnsi="宋体" w:eastAsia="宋体" w:cs="宋体"/>
                <w:sz w:val="22"/>
                <w:szCs w:val="22"/>
                <w:vertAlign w:val="baseline"/>
                <w:lang w:val="en-US" w:eastAsia="zh-CN"/>
              </w:rPr>
            </w:pPr>
          </w:p>
        </w:tc>
      </w:tr>
      <w:tr w14:paraId="5D4C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68FCBC8E">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p>
        </w:tc>
        <w:tc>
          <w:tcPr>
            <w:tcW w:w="3087" w:type="dxa"/>
            <w:shd w:val="clear" w:color="auto" w:fill="auto"/>
            <w:vAlign w:val="center"/>
          </w:tcPr>
          <w:p w14:paraId="55DE5661">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配电箱及元器件</w:t>
            </w:r>
          </w:p>
        </w:tc>
        <w:tc>
          <w:tcPr>
            <w:tcW w:w="3340" w:type="dxa"/>
            <w:shd w:val="clear" w:color="auto" w:fill="auto"/>
            <w:vAlign w:val="center"/>
          </w:tcPr>
          <w:p w14:paraId="154A21A6">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正泰、鸿雁、德力西</w:t>
            </w:r>
          </w:p>
        </w:tc>
        <w:tc>
          <w:tcPr>
            <w:tcW w:w="0" w:type="auto"/>
          </w:tcPr>
          <w:p w14:paraId="4EA2A182">
            <w:pPr>
              <w:widowControl w:val="0"/>
              <w:spacing w:line="240" w:lineRule="auto"/>
              <w:jc w:val="center"/>
              <w:rPr>
                <w:rFonts w:hint="eastAsia" w:ascii="宋体" w:hAnsi="宋体" w:eastAsia="宋体" w:cs="宋体"/>
                <w:sz w:val="22"/>
                <w:szCs w:val="22"/>
                <w:vertAlign w:val="baseline"/>
                <w:lang w:val="en-US" w:eastAsia="zh-CN"/>
              </w:rPr>
            </w:pPr>
          </w:p>
        </w:tc>
      </w:tr>
      <w:tr w14:paraId="2E49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73404071">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w:t>
            </w:r>
          </w:p>
        </w:tc>
        <w:tc>
          <w:tcPr>
            <w:tcW w:w="3087" w:type="dxa"/>
            <w:shd w:val="clear" w:color="auto" w:fill="auto"/>
            <w:vAlign w:val="center"/>
          </w:tcPr>
          <w:p w14:paraId="5F9AF4EF">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火灾自动报警、火灾监控、防火门监控、消防电源监控</w:t>
            </w:r>
          </w:p>
        </w:tc>
        <w:tc>
          <w:tcPr>
            <w:tcW w:w="3340" w:type="dxa"/>
            <w:shd w:val="clear" w:color="auto" w:fill="auto"/>
            <w:vAlign w:val="center"/>
          </w:tcPr>
          <w:p w14:paraId="6C16E336">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久远、松江、海湾</w:t>
            </w:r>
          </w:p>
        </w:tc>
        <w:tc>
          <w:tcPr>
            <w:tcW w:w="0" w:type="auto"/>
          </w:tcPr>
          <w:p w14:paraId="5063997C">
            <w:pPr>
              <w:widowControl w:val="0"/>
              <w:spacing w:line="240" w:lineRule="auto"/>
              <w:jc w:val="center"/>
              <w:rPr>
                <w:rFonts w:hint="eastAsia" w:ascii="宋体" w:hAnsi="宋体" w:eastAsia="宋体" w:cs="宋体"/>
                <w:sz w:val="22"/>
                <w:szCs w:val="22"/>
                <w:vertAlign w:val="baseline"/>
                <w:lang w:val="en-US" w:eastAsia="zh-CN"/>
              </w:rPr>
            </w:pPr>
          </w:p>
        </w:tc>
      </w:tr>
      <w:tr w14:paraId="4E78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36F9F786">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w:t>
            </w:r>
          </w:p>
        </w:tc>
        <w:tc>
          <w:tcPr>
            <w:tcW w:w="3087" w:type="dxa"/>
            <w:shd w:val="clear" w:color="auto" w:fill="auto"/>
            <w:vAlign w:val="center"/>
          </w:tcPr>
          <w:p w14:paraId="38608D57">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阀门、过滤器、 软接头</w:t>
            </w:r>
          </w:p>
        </w:tc>
        <w:tc>
          <w:tcPr>
            <w:tcW w:w="3340" w:type="dxa"/>
            <w:shd w:val="clear" w:color="auto" w:fill="auto"/>
            <w:vAlign w:val="center"/>
          </w:tcPr>
          <w:p w14:paraId="3E111D08">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（杭州）春江、（宁 波）埃美坷、上海冠龙、沪工</w:t>
            </w:r>
          </w:p>
        </w:tc>
        <w:tc>
          <w:tcPr>
            <w:tcW w:w="0" w:type="auto"/>
          </w:tcPr>
          <w:p w14:paraId="52507029">
            <w:pPr>
              <w:widowControl w:val="0"/>
              <w:spacing w:line="240" w:lineRule="auto"/>
              <w:jc w:val="center"/>
              <w:rPr>
                <w:rFonts w:hint="eastAsia" w:ascii="宋体" w:hAnsi="宋体" w:eastAsia="宋体" w:cs="宋体"/>
                <w:sz w:val="22"/>
                <w:szCs w:val="22"/>
                <w:vertAlign w:val="baseline"/>
                <w:lang w:val="en-US" w:eastAsia="zh-CN"/>
              </w:rPr>
            </w:pPr>
          </w:p>
        </w:tc>
      </w:tr>
      <w:tr w14:paraId="53E1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5C6697E3">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w:t>
            </w:r>
          </w:p>
        </w:tc>
        <w:tc>
          <w:tcPr>
            <w:tcW w:w="3087" w:type="dxa"/>
            <w:shd w:val="clear" w:color="auto" w:fill="auto"/>
            <w:vAlign w:val="center"/>
          </w:tcPr>
          <w:p w14:paraId="2A458170">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水表</w:t>
            </w:r>
          </w:p>
        </w:tc>
        <w:tc>
          <w:tcPr>
            <w:tcW w:w="3340" w:type="dxa"/>
            <w:shd w:val="clear" w:color="auto" w:fill="auto"/>
            <w:vAlign w:val="center"/>
          </w:tcPr>
          <w:p w14:paraId="4DEF2AD9">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宁波牌、杭州竞达、灵泉甬诚</w:t>
            </w:r>
          </w:p>
        </w:tc>
        <w:tc>
          <w:tcPr>
            <w:tcW w:w="0" w:type="auto"/>
          </w:tcPr>
          <w:p w14:paraId="61621FDA">
            <w:pPr>
              <w:widowControl w:val="0"/>
              <w:spacing w:line="240" w:lineRule="auto"/>
              <w:jc w:val="center"/>
              <w:rPr>
                <w:rFonts w:hint="eastAsia" w:ascii="宋体" w:hAnsi="宋体" w:eastAsia="宋体" w:cs="宋体"/>
                <w:sz w:val="22"/>
                <w:szCs w:val="22"/>
                <w:vertAlign w:val="baseline"/>
                <w:lang w:val="en-US" w:eastAsia="zh-CN"/>
              </w:rPr>
            </w:pPr>
          </w:p>
        </w:tc>
      </w:tr>
      <w:tr w14:paraId="4C6D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61BAC9D0">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w:t>
            </w:r>
          </w:p>
        </w:tc>
        <w:tc>
          <w:tcPr>
            <w:tcW w:w="3087" w:type="dxa"/>
            <w:shd w:val="clear" w:color="auto" w:fill="auto"/>
            <w:vAlign w:val="center"/>
          </w:tcPr>
          <w:p w14:paraId="0317BE77">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消火栓</w:t>
            </w:r>
          </w:p>
        </w:tc>
        <w:tc>
          <w:tcPr>
            <w:tcW w:w="3340" w:type="dxa"/>
            <w:shd w:val="clear" w:color="auto" w:fill="auto"/>
            <w:vAlign w:val="center"/>
          </w:tcPr>
          <w:p w14:paraId="1801E8FC">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信达、金盾、三顺</w:t>
            </w:r>
          </w:p>
        </w:tc>
        <w:tc>
          <w:tcPr>
            <w:tcW w:w="0" w:type="auto"/>
          </w:tcPr>
          <w:p w14:paraId="78AC142B">
            <w:pPr>
              <w:widowControl w:val="0"/>
              <w:spacing w:line="240" w:lineRule="auto"/>
              <w:jc w:val="center"/>
              <w:rPr>
                <w:rFonts w:hint="eastAsia" w:ascii="宋体" w:hAnsi="宋体" w:eastAsia="宋体" w:cs="宋体"/>
                <w:sz w:val="22"/>
                <w:szCs w:val="22"/>
                <w:vertAlign w:val="baseline"/>
                <w:lang w:val="en-US" w:eastAsia="zh-CN"/>
              </w:rPr>
            </w:pPr>
          </w:p>
        </w:tc>
      </w:tr>
      <w:tr w14:paraId="14CE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0D20747C">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11</w:t>
            </w:r>
          </w:p>
        </w:tc>
        <w:tc>
          <w:tcPr>
            <w:tcW w:w="3087" w:type="dxa"/>
            <w:shd w:val="clear" w:color="auto" w:fill="auto"/>
            <w:vAlign w:val="center"/>
          </w:tcPr>
          <w:p w14:paraId="697BAF69">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喷头</w:t>
            </w:r>
          </w:p>
        </w:tc>
        <w:tc>
          <w:tcPr>
            <w:tcW w:w="3340" w:type="dxa"/>
            <w:shd w:val="clear" w:color="auto" w:fill="auto"/>
            <w:vAlign w:val="center"/>
          </w:tcPr>
          <w:p w14:paraId="20068E44">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奇杰、恒安、金盾</w:t>
            </w:r>
          </w:p>
        </w:tc>
        <w:tc>
          <w:tcPr>
            <w:tcW w:w="0" w:type="auto"/>
          </w:tcPr>
          <w:p w14:paraId="780180D3">
            <w:pPr>
              <w:widowControl w:val="0"/>
              <w:spacing w:line="240" w:lineRule="auto"/>
              <w:jc w:val="center"/>
              <w:rPr>
                <w:rFonts w:hint="eastAsia" w:ascii="宋体" w:hAnsi="宋体" w:eastAsia="宋体" w:cs="宋体"/>
                <w:sz w:val="22"/>
                <w:szCs w:val="22"/>
                <w:vertAlign w:val="baseline"/>
                <w:lang w:val="en-US" w:eastAsia="zh-CN"/>
              </w:rPr>
            </w:pPr>
          </w:p>
        </w:tc>
      </w:tr>
      <w:tr w14:paraId="408A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43FE3302">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r>
              <w:rPr>
                <w:rFonts w:hint="eastAsia" w:cs="宋体"/>
                <w:sz w:val="22"/>
                <w:szCs w:val="22"/>
                <w:vertAlign w:val="baseline"/>
                <w:lang w:val="en-US" w:eastAsia="zh-CN"/>
              </w:rPr>
              <w:t>2</w:t>
            </w:r>
          </w:p>
        </w:tc>
        <w:tc>
          <w:tcPr>
            <w:tcW w:w="3087" w:type="dxa"/>
            <w:shd w:val="clear" w:color="auto" w:fill="auto"/>
            <w:vAlign w:val="center"/>
          </w:tcPr>
          <w:p w14:paraId="22796D7F">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PP-R/UPVC管</w:t>
            </w:r>
          </w:p>
        </w:tc>
        <w:tc>
          <w:tcPr>
            <w:tcW w:w="3340" w:type="dxa"/>
            <w:shd w:val="clear" w:color="auto" w:fill="auto"/>
            <w:vAlign w:val="center"/>
          </w:tcPr>
          <w:p w14:paraId="6F5CBC11">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中材、伟星、公元</w:t>
            </w:r>
          </w:p>
        </w:tc>
        <w:tc>
          <w:tcPr>
            <w:tcW w:w="0" w:type="auto"/>
          </w:tcPr>
          <w:p w14:paraId="48D0CCF5">
            <w:pPr>
              <w:widowControl w:val="0"/>
              <w:spacing w:line="240" w:lineRule="auto"/>
              <w:jc w:val="center"/>
              <w:rPr>
                <w:rFonts w:hint="eastAsia" w:ascii="宋体" w:hAnsi="宋体" w:eastAsia="宋体" w:cs="宋体"/>
                <w:sz w:val="22"/>
                <w:szCs w:val="22"/>
                <w:vertAlign w:val="baseline"/>
                <w:lang w:val="en-US" w:eastAsia="zh-CN"/>
              </w:rPr>
            </w:pPr>
          </w:p>
        </w:tc>
      </w:tr>
      <w:tr w14:paraId="72E0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2DE9CD5A">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r>
              <w:rPr>
                <w:rFonts w:hint="eastAsia" w:cs="宋体"/>
                <w:sz w:val="22"/>
                <w:szCs w:val="22"/>
                <w:vertAlign w:val="baseline"/>
                <w:lang w:val="en-US" w:eastAsia="zh-CN"/>
              </w:rPr>
              <w:t>3</w:t>
            </w:r>
          </w:p>
        </w:tc>
        <w:tc>
          <w:tcPr>
            <w:tcW w:w="3087" w:type="dxa"/>
            <w:shd w:val="clear" w:color="auto" w:fill="auto"/>
            <w:vAlign w:val="center"/>
          </w:tcPr>
          <w:p w14:paraId="5ECCE0EC">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洁具</w:t>
            </w:r>
          </w:p>
        </w:tc>
        <w:tc>
          <w:tcPr>
            <w:tcW w:w="3340" w:type="dxa"/>
            <w:shd w:val="clear" w:color="auto" w:fill="auto"/>
            <w:vAlign w:val="center"/>
          </w:tcPr>
          <w:p w14:paraId="1C453CCE">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箭牌、九牧、恒洁</w:t>
            </w:r>
          </w:p>
        </w:tc>
        <w:tc>
          <w:tcPr>
            <w:tcW w:w="0" w:type="auto"/>
          </w:tcPr>
          <w:p w14:paraId="6E2ABE63">
            <w:pPr>
              <w:widowControl w:val="0"/>
              <w:spacing w:line="240" w:lineRule="auto"/>
              <w:jc w:val="center"/>
              <w:rPr>
                <w:rFonts w:hint="eastAsia" w:ascii="宋体" w:hAnsi="宋体" w:eastAsia="宋体" w:cs="宋体"/>
                <w:sz w:val="22"/>
                <w:szCs w:val="22"/>
                <w:vertAlign w:val="baseline"/>
                <w:lang w:val="en-US" w:eastAsia="zh-CN"/>
              </w:rPr>
            </w:pPr>
          </w:p>
        </w:tc>
      </w:tr>
      <w:tr w14:paraId="5BCB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62BEA3CA">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r>
              <w:rPr>
                <w:rFonts w:hint="eastAsia" w:cs="宋体"/>
                <w:sz w:val="22"/>
                <w:szCs w:val="22"/>
                <w:vertAlign w:val="baseline"/>
                <w:lang w:val="en-US" w:eastAsia="zh-CN"/>
              </w:rPr>
              <w:t>4</w:t>
            </w:r>
          </w:p>
        </w:tc>
        <w:tc>
          <w:tcPr>
            <w:tcW w:w="3087" w:type="dxa"/>
            <w:shd w:val="clear" w:color="auto" w:fill="auto"/>
            <w:vAlign w:val="center"/>
          </w:tcPr>
          <w:p w14:paraId="53DB1D2D">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JDG管、KBG管</w:t>
            </w:r>
          </w:p>
        </w:tc>
        <w:tc>
          <w:tcPr>
            <w:tcW w:w="3340" w:type="dxa"/>
            <w:shd w:val="clear" w:color="auto" w:fill="auto"/>
            <w:vAlign w:val="center"/>
          </w:tcPr>
          <w:p w14:paraId="03C44784">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武陵源、荣华、萧通</w:t>
            </w:r>
          </w:p>
        </w:tc>
        <w:tc>
          <w:tcPr>
            <w:tcW w:w="0" w:type="auto"/>
          </w:tcPr>
          <w:p w14:paraId="3B33211F">
            <w:pPr>
              <w:widowControl w:val="0"/>
              <w:spacing w:line="240" w:lineRule="auto"/>
              <w:jc w:val="center"/>
              <w:rPr>
                <w:rFonts w:hint="eastAsia" w:ascii="宋体" w:hAnsi="宋体" w:eastAsia="宋体" w:cs="宋体"/>
                <w:sz w:val="22"/>
                <w:szCs w:val="22"/>
                <w:vertAlign w:val="baseline"/>
                <w:lang w:val="en-US" w:eastAsia="zh-CN"/>
              </w:rPr>
            </w:pPr>
          </w:p>
        </w:tc>
      </w:tr>
      <w:tr w14:paraId="749F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0240B4A0">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r>
              <w:rPr>
                <w:rFonts w:hint="eastAsia" w:cs="宋体"/>
                <w:sz w:val="22"/>
                <w:szCs w:val="22"/>
                <w:vertAlign w:val="baseline"/>
                <w:lang w:val="en-US" w:eastAsia="zh-CN"/>
              </w:rPr>
              <w:t>5</w:t>
            </w:r>
          </w:p>
        </w:tc>
        <w:tc>
          <w:tcPr>
            <w:tcW w:w="3087" w:type="dxa"/>
            <w:shd w:val="clear" w:color="auto" w:fill="auto"/>
            <w:vAlign w:val="center"/>
          </w:tcPr>
          <w:p w14:paraId="178AF5E5">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涂塑/钢塑钢管、焊接钢管、镀锌钢管</w:t>
            </w:r>
          </w:p>
        </w:tc>
        <w:tc>
          <w:tcPr>
            <w:tcW w:w="3340" w:type="dxa"/>
            <w:shd w:val="clear" w:color="auto" w:fill="auto"/>
            <w:vAlign w:val="center"/>
          </w:tcPr>
          <w:p w14:paraId="0A6863E4">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天津利达、湖州金洲、华岐</w:t>
            </w:r>
          </w:p>
        </w:tc>
        <w:tc>
          <w:tcPr>
            <w:tcW w:w="0" w:type="auto"/>
          </w:tcPr>
          <w:p w14:paraId="75C9F483">
            <w:pPr>
              <w:widowControl w:val="0"/>
              <w:spacing w:line="240" w:lineRule="auto"/>
              <w:jc w:val="center"/>
              <w:rPr>
                <w:rFonts w:hint="eastAsia" w:ascii="宋体" w:hAnsi="宋体" w:eastAsia="宋体" w:cs="宋体"/>
                <w:sz w:val="22"/>
                <w:szCs w:val="22"/>
                <w:vertAlign w:val="baseline"/>
                <w:lang w:val="en-US" w:eastAsia="zh-CN"/>
              </w:rPr>
            </w:pPr>
          </w:p>
        </w:tc>
      </w:tr>
      <w:tr w14:paraId="57B5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263474CE">
            <w:pPr>
              <w:widowControl w:val="0"/>
              <w:spacing w:line="240" w:lineRule="auto"/>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r>
              <w:rPr>
                <w:rFonts w:hint="eastAsia" w:cs="宋体"/>
                <w:sz w:val="22"/>
                <w:szCs w:val="22"/>
                <w:vertAlign w:val="baseline"/>
                <w:lang w:val="en-US" w:eastAsia="zh-CN"/>
              </w:rPr>
              <w:t>6</w:t>
            </w:r>
          </w:p>
        </w:tc>
        <w:tc>
          <w:tcPr>
            <w:tcW w:w="3087" w:type="dxa"/>
            <w:shd w:val="clear" w:color="auto" w:fill="auto"/>
            <w:vAlign w:val="center"/>
          </w:tcPr>
          <w:p w14:paraId="178499B0">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不锈钢管及配件</w:t>
            </w:r>
          </w:p>
        </w:tc>
        <w:tc>
          <w:tcPr>
            <w:tcW w:w="3340" w:type="dxa"/>
            <w:shd w:val="clear" w:color="auto" w:fill="auto"/>
            <w:vAlign w:val="center"/>
          </w:tcPr>
          <w:p w14:paraId="69377272">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永享、正康、格锐</w:t>
            </w:r>
          </w:p>
        </w:tc>
        <w:tc>
          <w:tcPr>
            <w:tcW w:w="0" w:type="auto"/>
          </w:tcPr>
          <w:p w14:paraId="3AFCFDC7">
            <w:pPr>
              <w:widowControl w:val="0"/>
              <w:spacing w:line="240" w:lineRule="auto"/>
              <w:jc w:val="center"/>
              <w:rPr>
                <w:rFonts w:hint="eastAsia" w:ascii="宋体" w:hAnsi="宋体" w:eastAsia="宋体" w:cs="宋体"/>
                <w:sz w:val="22"/>
                <w:szCs w:val="22"/>
                <w:vertAlign w:val="baseline"/>
                <w:lang w:val="en-US" w:eastAsia="zh-CN"/>
              </w:rPr>
            </w:pPr>
          </w:p>
        </w:tc>
      </w:tr>
      <w:tr w14:paraId="2A0E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1AAA0333">
            <w:pPr>
              <w:widowControl w:val="0"/>
              <w:spacing w:line="240" w:lineRule="auto"/>
              <w:jc w:val="center"/>
              <w:rPr>
                <w:rFonts w:hint="default" w:ascii="宋体" w:hAnsi="宋体" w:eastAsia="宋体" w:cs="宋体"/>
                <w:sz w:val="22"/>
                <w:szCs w:val="22"/>
                <w:vertAlign w:val="baseline"/>
                <w:lang w:val="en-US" w:eastAsia="zh-CN"/>
              </w:rPr>
            </w:pPr>
            <w:r>
              <w:rPr>
                <w:rFonts w:hint="eastAsia" w:cs="宋体"/>
                <w:sz w:val="22"/>
                <w:szCs w:val="22"/>
                <w:vertAlign w:val="baseline"/>
                <w:lang w:val="en-US" w:eastAsia="zh-CN"/>
              </w:rPr>
              <w:t>17</w:t>
            </w:r>
          </w:p>
        </w:tc>
        <w:tc>
          <w:tcPr>
            <w:tcW w:w="3087" w:type="dxa"/>
            <w:shd w:val="clear" w:color="auto" w:fill="auto"/>
            <w:vAlign w:val="center"/>
          </w:tcPr>
          <w:p w14:paraId="647796C3">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空调、新风</w:t>
            </w:r>
          </w:p>
        </w:tc>
        <w:tc>
          <w:tcPr>
            <w:tcW w:w="3340" w:type="dxa"/>
            <w:shd w:val="clear" w:color="auto" w:fill="auto"/>
            <w:vAlign w:val="center"/>
          </w:tcPr>
          <w:p w14:paraId="442CD93B">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美的、格力、三菱重工</w:t>
            </w:r>
          </w:p>
        </w:tc>
        <w:tc>
          <w:tcPr>
            <w:tcW w:w="0" w:type="auto"/>
          </w:tcPr>
          <w:p w14:paraId="6BBABC27">
            <w:pPr>
              <w:widowControl w:val="0"/>
              <w:spacing w:line="240" w:lineRule="auto"/>
              <w:jc w:val="center"/>
              <w:rPr>
                <w:rFonts w:hint="eastAsia" w:ascii="宋体" w:hAnsi="宋体" w:eastAsia="宋体" w:cs="宋体"/>
                <w:sz w:val="22"/>
                <w:szCs w:val="22"/>
                <w:vertAlign w:val="baseline"/>
                <w:lang w:val="en-US" w:eastAsia="zh-CN"/>
              </w:rPr>
            </w:pPr>
          </w:p>
        </w:tc>
      </w:tr>
      <w:tr w14:paraId="0267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52C33166">
            <w:pPr>
              <w:widowControl w:val="0"/>
              <w:spacing w:line="240" w:lineRule="auto"/>
              <w:jc w:val="center"/>
              <w:rPr>
                <w:rFonts w:hint="default" w:ascii="宋体" w:hAnsi="宋体" w:eastAsia="宋体" w:cs="宋体"/>
                <w:sz w:val="22"/>
                <w:szCs w:val="22"/>
                <w:vertAlign w:val="baseline"/>
                <w:lang w:val="en-US" w:eastAsia="zh-CN"/>
              </w:rPr>
            </w:pPr>
            <w:r>
              <w:rPr>
                <w:rFonts w:hint="eastAsia" w:cs="宋体"/>
                <w:sz w:val="22"/>
                <w:szCs w:val="22"/>
                <w:vertAlign w:val="baseline"/>
                <w:lang w:val="en-US" w:eastAsia="zh-CN"/>
              </w:rPr>
              <w:t>18</w:t>
            </w:r>
          </w:p>
        </w:tc>
        <w:tc>
          <w:tcPr>
            <w:tcW w:w="3087" w:type="dxa"/>
            <w:shd w:val="clear" w:color="auto" w:fill="auto"/>
            <w:vAlign w:val="center"/>
          </w:tcPr>
          <w:p w14:paraId="43658EE5">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铜水管及铜配件</w:t>
            </w:r>
          </w:p>
        </w:tc>
        <w:tc>
          <w:tcPr>
            <w:tcW w:w="3340" w:type="dxa"/>
            <w:shd w:val="clear" w:color="auto" w:fill="auto"/>
            <w:vAlign w:val="center"/>
          </w:tcPr>
          <w:p w14:paraId="61C5208F">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海亮、永享、金丰</w:t>
            </w:r>
          </w:p>
        </w:tc>
        <w:tc>
          <w:tcPr>
            <w:tcW w:w="0" w:type="auto"/>
          </w:tcPr>
          <w:p w14:paraId="77B94842">
            <w:pPr>
              <w:widowControl w:val="0"/>
              <w:spacing w:line="240" w:lineRule="auto"/>
              <w:jc w:val="center"/>
              <w:rPr>
                <w:rFonts w:hint="eastAsia" w:ascii="宋体" w:hAnsi="宋体" w:eastAsia="宋体" w:cs="宋体"/>
                <w:sz w:val="22"/>
                <w:szCs w:val="22"/>
                <w:vertAlign w:val="baseline"/>
                <w:lang w:val="en-US" w:eastAsia="zh-CN"/>
              </w:rPr>
            </w:pPr>
          </w:p>
        </w:tc>
      </w:tr>
      <w:tr w14:paraId="64B1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675A96FB">
            <w:pPr>
              <w:widowControl w:val="0"/>
              <w:spacing w:line="240" w:lineRule="auto"/>
              <w:jc w:val="center"/>
              <w:rPr>
                <w:rFonts w:hint="default" w:ascii="宋体" w:hAnsi="宋体" w:eastAsia="宋体" w:cs="宋体"/>
                <w:sz w:val="22"/>
                <w:szCs w:val="22"/>
                <w:vertAlign w:val="baseline"/>
                <w:lang w:val="en-US" w:eastAsia="zh-CN"/>
              </w:rPr>
            </w:pPr>
            <w:r>
              <w:rPr>
                <w:rFonts w:hint="eastAsia" w:cs="宋体"/>
                <w:sz w:val="22"/>
                <w:szCs w:val="22"/>
                <w:vertAlign w:val="baseline"/>
                <w:lang w:val="en-US" w:eastAsia="zh-CN"/>
              </w:rPr>
              <w:t>19</w:t>
            </w:r>
          </w:p>
        </w:tc>
        <w:tc>
          <w:tcPr>
            <w:tcW w:w="3087" w:type="dxa"/>
            <w:shd w:val="clear" w:color="auto" w:fill="auto"/>
            <w:vAlign w:val="center"/>
          </w:tcPr>
          <w:p w14:paraId="6044130B">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计算机网络</w:t>
            </w:r>
          </w:p>
        </w:tc>
        <w:tc>
          <w:tcPr>
            <w:tcW w:w="3340" w:type="dxa"/>
            <w:shd w:val="clear" w:color="auto" w:fill="auto"/>
            <w:vAlign w:val="center"/>
          </w:tcPr>
          <w:p w14:paraId="6D21073F">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华为、华三、思科</w:t>
            </w:r>
          </w:p>
        </w:tc>
        <w:tc>
          <w:tcPr>
            <w:tcW w:w="0" w:type="auto"/>
          </w:tcPr>
          <w:p w14:paraId="2C70F9C2">
            <w:pPr>
              <w:widowControl w:val="0"/>
              <w:spacing w:line="240" w:lineRule="auto"/>
              <w:jc w:val="center"/>
              <w:rPr>
                <w:rFonts w:hint="eastAsia" w:ascii="宋体" w:hAnsi="宋体" w:eastAsia="宋体" w:cs="宋体"/>
                <w:sz w:val="22"/>
                <w:szCs w:val="22"/>
                <w:vertAlign w:val="baseline"/>
                <w:lang w:val="en-US" w:eastAsia="zh-CN"/>
              </w:rPr>
            </w:pPr>
          </w:p>
        </w:tc>
      </w:tr>
      <w:tr w14:paraId="4909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06EBBD0B">
            <w:pPr>
              <w:widowControl w:val="0"/>
              <w:spacing w:line="240" w:lineRule="auto"/>
              <w:jc w:val="center"/>
              <w:rPr>
                <w:rFonts w:hint="default" w:ascii="宋体" w:hAnsi="宋体" w:eastAsia="宋体" w:cs="宋体"/>
                <w:sz w:val="22"/>
                <w:szCs w:val="22"/>
                <w:vertAlign w:val="baseline"/>
                <w:lang w:val="en-US" w:eastAsia="zh-CN"/>
              </w:rPr>
            </w:pPr>
            <w:r>
              <w:rPr>
                <w:rFonts w:hint="eastAsia" w:cs="宋体"/>
                <w:sz w:val="22"/>
                <w:szCs w:val="22"/>
                <w:vertAlign w:val="baseline"/>
                <w:lang w:val="en-US" w:eastAsia="zh-CN"/>
              </w:rPr>
              <w:t>20</w:t>
            </w:r>
          </w:p>
        </w:tc>
        <w:tc>
          <w:tcPr>
            <w:tcW w:w="3087" w:type="dxa"/>
            <w:shd w:val="clear" w:color="auto" w:fill="auto"/>
            <w:vAlign w:val="center"/>
          </w:tcPr>
          <w:p w14:paraId="470C3B38">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摄像机</w:t>
            </w:r>
          </w:p>
        </w:tc>
        <w:tc>
          <w:tcPr>
            <w:tcW w:w="3340" w:type="dxa"/>
            <w:shd w:val="clear" w:color="auto" w:fill="auto"/>
            <w:vAlign w:val="center"/>
          </w:tcPr>
          <w:p w14:paraId="45E49EAA">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大华、海康威视、宇视</w:t>
            </w:r>
          </w:p>
        </w:tc>
        <w:tc>
          <w:tcPr>
            <w:tcW w:w="0" w:type="auto"/>
          </w:tcPr>
          <w:p w14:paraId="03DC458F">
            <w:pPr>
              <w:widowControl w:val="0"/>
              <w:spacing w:line="240" w:lineRule="auto"/>
              <w:jc w:val="center"/>
              <w:rPr>
                <w:rFonts w:hint="eastAsia" w:ascii="宋体" w:hAnsi="宋体" w:eastAsia="宋体" w:cs="宋体"/>
                <w:sz w:val="22"/>
                <w:szCs w:val="22"/>
                <w:vertAlign w:val="baseline"/>
                <w:lang w:val="en-US" w:eastAsia="zh-CN"/>
              </w:rPr>
            </w:pPr>
          </w:p>
        </w:tc>
      </w:tr>
      <w:tr w14:paraId="42ED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shd w:val="clear" w:color="auto" w:fill="auto"/>
            <w:vAlign w:val="center"/>
          </w:tcPr>
          <w:p w14:paraId="58F4D150">
            <w:pPr>
              <w:widowControl w:val="0"/>
              <w:spacing w:line="240" w:lineRule="auto"/>
              <w:jc w:val="center"/>
              <w:rPr>
                <w:rFonts w:hint="default" w:ascii="宋体" w:hAnsi="宋体" w:eastAsia="宋体" w:cs="宋体"/>
                <w:sz w:val="22"/>
                <w:szCs w:val="22"/>
                <w:vertAlign w:val="baseline"/>
                <w:lang w:val="en-US" w:eastAsia="zh-CN"/>
              </w:rPr>
            </w:pPr>
            <w:r>
              <w:rPr>
                <w:rFonts w:hint="eastAsia" w:cs="宋体"/>
                <w:sz w:val="22"/>
                <w:szCs w:val="22"/>
                <w:vertAlign w:val="baseline"/>
                <w:lang w:val="en-US" w:eastAsia="zh-CN"/>
              </w:rPr>
              <w:t>21</w:t>
            </w:r>
          </w:p>
        </w:tc>
        <w:tc>
          <w:tcPr>
            <w:tcW w:w="3087" w:type="dxa"/>
            <w:shd w:val="clear" w:color="auto" w:fill="auto"/>
            <w:vAlign w:val="center"/>
          </w:tcPr>
          <w:p w14:paraId="0D31D2A4">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综合布线系统</w:t>
            </w:r>
          </w:p>
        </w:tc>
        <w:tc>
          <w:tcPr>
            <w:tcW w:w="3340" w:type="dxa"/>
            <w:shd w:val="clear" w:color="auto" w:fill="auto"/>
            <w:vAlign w:val="center"/>
          </w:tcPr>
          <w:p w14:paraId="1E9EAB88">
            <w:pPr>
              <w:widowControl w:val="0"/>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一舟、清华同方、天诚</w:t>
            </w:r>
          </w:p>
        </w:tc>
        <w:tc>
          <w:tcPr>
            <w:tcW w:w="0" w:type="auto"/>
          </w:tcPr>
          <w:p w14:paraId="44BE0CEF">
            <w:pPr>
              <w:widowControl w:val="0"/>
              <w:spacing w:line="240" w:lineRule="auto"/>
              <w:jc w:val="center"/>
              <w:rPr>
                <w:rFonts w:hint="eastAsia" w:ascii="宋体" w:hAnsi="宋体" w:eastAsia="宋体" w:cs="宋体"/>
                <w:sz w:val="22"/>
                <w:szCs w:val="22"/>
                <w:vertAlign w:val="baseline"/>
                <w:lang w:val="en-US" w:eastAsia="zh-CN"/>
              </w:rPr>
            </w:pPr>
          </w:p>
        </w:tc>
      </w:tr>
    </w:tbl>
    <w:p w14:paraId="0B4FDA0A">
      <w:pPr>
        <w:pStyle w:val="48"/>
        <w:widowControl/>
        <w:spacing w:line="500" w:lineRule="exact"/>
        <w:rPr>
          <w:rFonts w:hint="eastAsia"/>
        </w:rPr>
      </w:pPr>
    </w:p>
    <w:sectPr>
      <w:headerReference r:id="rId3" w:type="default"/>
      <w:footerReference r:id="rId4" w:type="default"/>
      <w:pgSz w:w="11906" w:h="16838"/>
      <w:pgMar w:top="1440" w:right="1800" w:bottom="1440" w:left="1800"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45469">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4795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72085" cy="147955"/>
                      </a:xfrm>
                      <a:prstGeom prst="rect">
                        <a:avLst/>
                      </a:prstGeom>
                      <a:noFill/>
                      <a:ln>
                        <a:noFill/>
                      </a:ln>
                    </wps:spPr>
                    <wps:txbx>
                      <w:txbxContent>
                        <w:p w14:paraId="3CA73107">
                          <w:pPr>
                            <w:snapToGrid w:val="0"/>
                            <w:rPr>
                              <w:rFonts w:hint="eastAsia"/>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r>
                            <w:rPr>
                              <w:rFonts w:hint="eastAsia"/>
                              <w:sz w:val="18"/>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1.65pt;width:13.55pt;mso-position-horizontal:center;mso-position-horizontal-relative:margin;mso-wrap-style:none;z-index:251659264;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81RGj0QAAAAMBAAAPAAAAAAAAAAEAIAAAACIAAABkcnMvZG93&#10;bnJldi54bWxQSwECFAAUAAAACACHTuJAsOAOdc4BAACXAwAADgAAAAAAAAABACAAAAAgAQAAZHJz&#10;L2Uyb0RvYy54bWxQSwUGAAAAAAYABgBZAQAAYAUAAAAA&#10;">
              <v:fill on="f" focussize="0,0"/>
              <v:stroke on="f"/>
              <v:imagedata o:title=""/>
              <o:lock v:ext="edit" aspectratio="f"/>
              <v:textbox inset="0mm,0mm,0mm,0mm" style="mso-fit-shape-to-text:t;">
                <w:txbxContent>
                  <w:p w14:paraId="3CA73107">
                    <w:pPr>
                      <w:snapToGrid w:val="0"/>
                      <w:rPr>
                        <w:rFonts w:hint="eastAsia"/>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r>
                      <w:rPr>
                        <w:rFonts w:hint="eastAsia"/>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BD203">
    <w:pPr>
      <w:pStyle w:val="12"/>
      <w:pBdr>
        <w:bottom w:val="thinThickLargeGap" w:color="auto" w:sz="24" w:space="17"/>
      </w:pBdr>
      <w:tabs>
        <w:tab w:val="left" w:pos="1394"/>
        <w:tab w:val="clear" w:pos="4153"/>
        <w:tab w:val="clear" w:pos="8306"/>
      </w:tabs>
      <w:jc w:val="left"/>
    </w:pPr>
    <w: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2766060" cy="2766060"/>
          <wp:effectExtent l="0" t="0" r="15240" b="15240"/>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
                  <a:stretch>
                    <a:fillRect/>
                  </a:stretch>
                </pic:blipFill>
                <pic:spPr>
                  <a:xfrm>
                    <a:off x="0" y="0"/>
                    <a:ext cx="2766060" cy="27660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FADFE"/>
    <w:multiLevelType w:val="singleLevel"/>
    <w:tmpl w:val="957FADFE"/>
    <w:lvl w:ilvl="0" w:tentative="0">
      <w:start w:val="1"/>
      <w:numFmt w:val="decimal"/>
      <w:lvlText w:val="%1."/>
      <w:lvlJc w:val="left"/>
      <w:pPr>
        <w:tabs>
          <w:tab w:val="left" w:pos="312"/>
        </w:tabs>
      </w:pPr>
    </w:lvl>
  </w:abstractNum>
  <w:abstractNum w:abstractNumId="1">
    <w:nsid w:val="A3D19ED3"/>
    <w:multiLevelType w:val="singleLevel"/>
    <w:tmpl w:val="A3D19ED3"/>
    <w:lvl w:ilvl="0" w:tentative="0">
      <w:start w:val="1"/>
      <w:numFmt w:val="decimal"/>
      <w:lvlText w:val="%1."/>
      <w:lvlJc w:val="left"/>
      <w:pPr>
        <w:tabs>
          <w:tab w:val="left" w:pos="312"/>
        </w:tabs>
      </w:pPr>
    </w:lvl>
  </w:abstractNum>
  <w:abstractNum w:abstractNumId="2">
    <w:nsid w:val="FD789637"/>
    <w:multiLevelType w:val="singleLevel"/>
    <w:tmpl w:val="FD789637"/>
    <w:lvl w:ilvl="0" w:tentative="0">
      <w:start w:val="1"/>
      <w:numFmt w:val="decimal"/>
      <w:suff w:val="space"/>
      <w:lvlText w:val="%1."/>
      <w:lvlJc w:val="left"/>
    </w:lvl>
  </w:abstractNum>
  <w:abstractNum w:abstractNumId="3">
    <w:nsid w:val="0F1540B4"/>
    <w:multiLevelType w:val="multilevel"/>
    <w:tmpl w:val="0F1540B4"/>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CE40F8F"/>
    <w:multiLevelType w:val="multilevel"/>
    <w:tmpl w:val="7CE40F8F"/>
    <w:lvl w:ilvl="0" w:tentative="0">
      <w:start w:val="4"/>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doNotCompress"/>
  <w:doNotValidateAgainstSchema/>
  <w:doNotDemarcateInvalidXml/>
  <w:hdrShapeDefaults>
    <o:shapelayout v:ext="edit">
      <o:idmap v:ext="edit" data="1"/>
    </o:shapelayout>
  </w:hdrShapeDefaults>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MmM4NzQ2MGI3N2E2M2Q1M2RhMjM3NDdmZTUxMGIifQ=="/>
  </w:docVars>
  <w:rsids>
    <w:rsidRoot w:val="00172A27"/>
    <w:rsid w:val="00013517"/>
    <w:rsid w:val="00014750"/>
    <w:rsid w:val="00014F24"/>
    <w:rsid w:val="00024509"/>
    <w:rsid w:val="00030D04"/>
    <w:rsid w:val="00033B1D"/>
    <w:rsid w:val="00036ACE"/>
    <w:rsid w:val="00036AD2"/>
    <w:rsid w:val="0004433C"/>
    <w:rsid w:val="000461EB"/>
    <w:rsid w:val="000464F8"/>
    <w:rsid w:val="00046C7D"/>
    <w:rsid w:val="000513B3"/>
    <w:rsid w:val="000536A1"/>
    <w:rsid w:val="00055111"/>
    <w:rsid w:val="000624E6"/>
    <w:rsid w:val="000655AA"/>
    <w:rsid w:val="00071FF8"/>
    <w:rsid w:val="00075DBA"/>
    <w:rsid w:val="00082DB7"/>
    <w:rsid w:val="00087F59"/>
    <w:rsid w:val="000A5C9E"/>
    <w:rsid w:val="000B3C64"/>
    <w:rsid w:val="000D7721"/>
    <w:rsid w:val="000E37A7"/>
    <w:rsid w:val="000F2A74"/>
    <w:rsid w:val="000F4643"/>
    <w:rsid w:val="000F4E7C"/>
    <w:rsid w:val="000F74B0"/>
    <w:rsid w:val="00103A2C"/>
    <w:rsid w:val="00106F1E"/>
    <w:rsid w:val="0011415A"/>
    <w:rsid w:val="001320BB"/>
    <w:rsid w:val="00134F8F"/>
    <w:rsid w:val="00137E46"/>
    <w:rsid w:val="0014609B"/>
    <w:rsid w:val="001465BB"/>
    <w:rsid w:val="001503AD"/>
    <w:rsid w:val="00197802"/>
    <w:rsid w:val="001A0E55"/>
    <w:rsid w:val="001A1ECD"/>
    <w:rsid w:val="001A1F50"/>
    <w:rsid w:val="001B3D08"/>
    <w:rsid w:val="001C5DB6"/>
    <w:rsid w:val="001C66E0"/>
    <w:rsid w:val="001D7248"/>
    <w:rsid w:val="001E649D"/>
    <w:rsid w:val="001F7C2E"/>
    <w:rsid w:val="00205F9E"/>
    <w:rsid w:val="002074A3"/>
    <w:rsid w:val="00211356"/>
    <w:rsid w:val="002133D7"/>
    <w:rsid w:val="002134DC"/>
    <w:rsid w:val="0022339F"/>
    <w:rsid w:val="00237EBD"/>
    <w:rsid w:val="002436C9"/>
    <w:rsid w:val="00250117"/>
    <w:rsid w:val="00250FA2"/>
    <w:rsid w:val="0025510D"/>
    <w:rsid w:val="00267C38"/>
    <w:rsid w:val="002722C2"/>
    <w:rsid w:val="00273E9F"/>
    <w:rsid w:val="00274D14"/>
    <w:rsid w:val="00287342"/>
    <w:rsid w:val="00287EA7"/>
    <w:rsid w:val="002960FF"/>
    <w:rsid w:val="002973FC"/>
    <w:rsid w:val="002978D4"/>
    <w:rsid w:val="002B635C"/>
    <w:rsid w:val="002C6B03"/>
    <w:rsid w:val="002C7A6C"/>
    <w:rsid w:val="002D301E"/>
    <w:rsid w:val="002E3A6A"/>
    <w:rsid w:val="002E5140"/>
    <w:rsid w:val="002F4E98"/>
    <w:rsid w:val="002F646E"/>
    <w:rsid w:val="002F6893"/>
    <w:rsid w:val="00301095"/>
    <w:rsid w:val="00325D69"/>
    <w:rsid w:val="0032677A"/>
    <w:rsid w:val="0033771D"/>
    <w:rsid w:val="00340AAF"/>
    <w:rsid w:val="00346F13"/>
    <w:rsid w:val="003703F0"/>
    <w:rsid w:val="00375E73"/>
    <w:rsid w:val="00387F43"/>
    <w:rsid w:val="003A1257"/>
    <w:rsid w:val="003B0FCE"/>
    <w:rsid w:val="003B1005"/>
    <w:rsid w:val="003B3815"/>
    <w:rsid w:val="003B70E9"/>
    <w:rsid w:val="003C17B3"/>
    <w:rsid w:val="003C274B"/>
    <w:rsid w:val="003D079E"/>
    <w:rsid w:val="003D2230"/>
    <w:rsid w:val="003D61D7"/>
    <w:rsid w:val="003E521A"/>
    <w:rsid w:val="003F2C76"/>
    <w:rsid w:val="003F7655"/>
    <w:rsid w:val="004030DC"/>
    <w:rsid w:val="00404EA8"/>
    <w:rsid w:val="00427EC9"/>
    <w:rsid w:val="0043307A"/>
    <w:rsid w:val="00436045"/>
    <w:rsid w:val="00436FD5"/>
    <w:rsid w:val="00461803"/>
    <w:rsid w:val="00461B30"/>
    <w:rsid w:val="004638EE"/>
    <w:rsid w:val="00477526"/>
    <w:rsid w:val="004776FC"/>
    <w:rsid w:val="00484EB8"/>
    <w:rsid w:val="004853E7"/>
    <w:rsid w:val="0049410D"/>
    <w:rsid w:val="00497C04"/>
    <w:rsid w:val="004A4254"/>
    <w:rsid w:val="004A736C"/>
    <w:rsid w:val="004A76F3"/>
    <w:rsid w:val="004B263C"/>
    <w:rsid w:val="004B311D"/>
    <w:rsid w:val="004C04D6"/>
    <w:rsid w:val="004C1685"/>
    <w:rsid w:val="004E6C7B"/>
    <w:rsid w:val="004E6FB7"/>
    <w:rsid w:val="004F0C30"/>
    <w:rsid w:val="004F4063"/>
    <w:rsid w:val="004F5A73"/>
    <w:rsid w:val="004F5B42"/>
    <w:rsid w:val="004F6112"/>
    <w:rsid w:val="004F6FAB"/>
    <w:rsid w:val="00503A1D"/>
    <w:rsid w:val="005069CB"/>
    <w:rsid w:val="005100C8"/>
    <w:rsid w:val="00512CFF"/>
    <w:rsid w:val="00527C7E"/>
    <w:rsid w:val="00527D04"/>
    <w:rsid w:val="0053335F"/>
    <w:rsid w:val="00546A26"/>
    <w:rsid w:val="0056389A"/>
    <w:rsid w:val="00564D5B"/>
    <w:rsid w:val="00581FFC"/>
    <w:rsid w:val="005860E9"/>
    <w:rsid w:val="005973A3"/>
    <w:rsid w:val="005A0201"/>
    <w:rsid w:val="005A49D7"/>
    <w:rsid w:val="005B3A9F"/>
    <w:rsid w:val="005B55F9"/>
    <w:rsid w:val="005D30DA"/>
    <w:rsid w:val="005D64C0"/>
    <w:rsid w:val="005D6AF0"/>
    <w:rsid w:val="005D7370"/>
    <w:rsid w:val="005E1A1C"/>
    <w:rsid w:val="005E6761"/>
    <w:rsid w:val="00601F15"/>
    <w:rsid w:val="00603367"/>
    <w:rsid w:val="0062126E"/>
    <w:rsid w:val="00624EB0"/>
    <w:rsid w:val="0063066B"/>
    <w:rsid w:val="006319B1"/>
    <w:rsid w:val="00645EAE"/>
    <w:rsid w:val="006477CB"/>
    <w:rsid w:val="00651B55"/>
    <w:rsid w:val="006600ED"/>
    <w:rsid w:val="006825E1"/>
    <w:rsid w:val="00691951"/>
    <w:rsid w:val="006A1FD1"/>
    <w:rsid w:val="006A33D7"/>
    <w:rsid w:val="006A77C6"/>
    <w:rsid w:val="006B3A40"/>
    <w:rsid w:val="006C1885"/>
    <w:rsid w:val="006E7D23"/>
    <w:rsid w:val="006F4D5B"/>
    <w:rsid w:val="006F7A42"/>
    <w:rsid w:val="00700A73"/>
    <w:rsid w:val="00712FDA"/>
    <w:rsid w:val="00716854"/>
    <w:rsid w:val="007218EF"/>
    <w:rsid w:val="00721E55"/>
    <w:rsid w:val="0074357F"/>
    <w:rsid w:val="007470CC"/>
    <w:rsid w:val="00747AC4"/>
    <w:rsid w:val="007533B7"/>
    <w:rsid w:val="00760C7B"/>
    <w:rsid w:val="00770FE1"/>
    <w:rsid w:val="00774972"/>
    <w:rsid w:val="007773AE"/>
    <w:rsid w:val="00780C21"/>
    <w:rsid w:val="00791664"/>
    <w:rsid w:val="00794D20"/>
    <w:rsid w:val="007950B2"/>
    <w:rsid w:val="007A357D"/>
    <w:rsid w:val="007A54BB"/>
    <w:rsid w:val="007B2F0D"/>
    <w:rsid w:val="007D40A2"/>
    <w:rsid w:val="007F6481"/>
    <w:rsid w:val="007F6CE4"/>
    <w:rsid w:val="008007E8"/>
    <w:rsid w:val="0080691A"/>
    <w:rsid w:val="00833716"/>
    <w:rsid w:val="00837A5C"/>
    <w:rsid w:val="008407B6"/>
    <w:rsid w:val="00852967"/>
    <w:rsid w:val="0085400A"/>
    <w:rsid w:val="00870DEC"/>
    <w:rsid w:val="0088209C"/>
    <w:rsid w:val="008830BF"/>
    <w:rsid w:val="0088755C"/>
    <w:rsid w:val="00887E4F"/>
    <w:rsid w:val="00891B9A"/>
    <w:rsid w:val="008A5389"/>
    <w:rsid w:val="008B0D0D"/>
    <w:rsid w:val="008B3E87"/>
    <w:rsid w:val="008B6969"/>
    <w:rsid w:val="008C353C"/>
    <w:rsid w:val="008C6FCC"/>
    <w:rsid w:val="008C7801"/>
    <w:rsid w:val="008D6148"/>
    <w:rsid w:val="008E33C7"/>
    <w:rsid w:val="008E3D13"/>
    <w:rsid w:val="008F4A18"/>
    <w:rsid w:val="008F5C55"/>
    <w:rsid w:val="009000A2"/>
    <w:rsid w:val="00904B4A"/>
    <w:rsid w:val="009152F1"/>
    <w:rsid w:val="009203C5"/>
    <w:rsid w:val="0092155A"/>
    <w:rsid w:val="00922B4F"/>
    <w:rsid w:val="00922F70"/>
    <w:rsid w:val="00930AD8"/>
    <w:rsid w:val="00935D76"/>
    <w:rsid w:val="00936744"/>
    <w:rsid w:val="00937ECA"/>
    <w:rsid w:val="00942D0E"/>
    <w:rsid w:val="0095612A"/>
    <w:rsid w:val="009675E9"/>
    <w:rsid w:val="009808AF"/>
    <w:rsid w:val="00990BCA"/>
    <w:rsid w:val="009A336F"/>
    <w:rsid w:val="009A3C0F"/>
    <w:rsid w:val="009A4110"/>
    <w:rsid w:val="009A6023"/>
    <w:rsid w:val="009B132E"/>
    <w:rsid w:val="009B1644"/>
    <w:rsid w:val="009C16B7"/>
    <w:rsid w:val="009D300A"/>
    <w:rsid w:val="009D39A8"/>
    <w:rsid w:val="009E3733"/>
    <w:rsid w:val="009E3B12"/>
    <w:rsid w:val="009E5C77"/>
    <w:rsid w:val="009F625B"/>
    <w:rsid w:val="009F70AC"/>
    <w:rsid w:val="00A10C57"/>
    <w:rsid w:val="00A15A3D"/>
    <w:rsid w:val="00A23133"/>
    <w:rsid w:val="00A24E14"/>
    <w:rsid w:val="00A339C8"/>
    <w:rsid w:val="00A33F60"/>
    <w:rsid w:val="00A3445C"/>
    <w:rsid w:val="00A37919"/>
    <w:rsid w:val="00A443E1"/>
    <w:rsid w:val="00A4792A"/>
    <w:rsid w:val="00A51A52"/>
    <w:rsid w:val="00A537E0"/>
    <w:rsid w:val="00A6078B"/>
    <w:rsid w:val="00A7142F"/>
    <w:rsid w:val="00A76B14"/>
    <w:rsid w:val="00A828F4"/>
    <w:rsid w:val="00AB565F"/>
    <w:rsid w:val="00AC4266"/>
    <w:rsid w:val="00AD2D29"/>
    <w:rsid w:val="00AD44E1"/>
    <w:rsid w:val="00AD79B9"/>
    <w:rsid w:val="00AE0B05"/>
    <w:rsid w:val="00AE2F13"/>
    <w:rsid w:val="00AE5BA0"/>
    <w:rsid w:val="00AE6C0C"/>
    <w:rsid w:val="00AE74BD"/>
    <w:rsid w:val="00AF36F8"/>
    <w:rsid w:val="00B0379A"/>
    <w:rsid w:val="00B142EC"/>
    <w:rsid w:val="00B22B36"/>
    <w:rsid w:val="00B3095C"/>
    <w:rsid w:val="00B3183B"/>
    <w:rsid w:val="00B35D02"/>
    <w:rsid w:val="00B42AA4"/>
    <w:rsid w:val="00B52C62"/>
    <w:rsid w:val="00B54FBC"/>
    <w:rsid w:val="00B647F0"/>
    <w:rsid w:val="00B67FA7"/>
    <w:rsid w:val="00B87B5E"/>
    <w:rsid w:val="00BA5536"/>
    <w:rsid w:val="00BA7F84"/>
    <w:rsid w:val="00BB5465"/>
    <w:rsid w:val="00BB6332"/>
    <w:rsid w:val="00BC6E81"/>
    <w:rsid w:val="00BD7657"/>
    <w:rsid w:val="00BE7ACA"/>
    <w:rsid w:val="00BF45D2"/>
    <w:rsid w:val="00BF4F05"/>
    <w:rsid w:val="00BF500E"/>
    <w:rsid w:val="00C01775"/>
    <w:rsid w:val="00C018D1"/>
    <w:rsid w:val="00C07958"/>
    <w:rsid w:val="00C11624"/>
    <w:rsid w:val="00C205F0"/>
    <w:rsid w:val="00C219BD"/>
    <w:rsid w:val="00C21E3A"/>
    <w:rsid w:val="00C458FB"/>
    <w:rsid w:val="00C51629"/>
    <w:rsid w:val="00C552B7"/>
    <w:rsid w:val="00C62AD0"/>
    <w:rsid w:val="00C62DB9"/>
    <w:rsid w:val="00C63F2A"/>
    <w:rsid w:val="00C7305B"/>
    <w:rsid w:val="00C7470C"/>
    <w:rsid w:val="00C80446"/>
    <w:rsid w:val="00C8211B"/>
    <w:rsid w:val="00C8213A"/>
    <w:rsid w:val="00C83A6C"/>
    <w:rsid w:val="00C84F19"/>
    <w:rsid w:val="00C853A3"/>
    <w:rsid w:val="00C902C5"/>
    <w:rsid w:val="00CA7695"/>
    <w:rsid w:val="00CB034D"/>
    <w:rsid w:val="00CD4DEB"/>
    <w:rsid w:val="00CD5178"/>
    <w:rsid w:val="00CE0FCE"/>
    <w:rsid w:val="00CE1CAC"/>
    <w:rsid w:val="00CE5F48"/>
    <w:rsid w:val="00CF4F9D"/>
    <w:rsid w:val="00CF6531"/>
    <w:rsid w:val="00D05ADC"/>
    <w:rsid w:val="00D06F55"/>
    <w:rsid w:val="00D15691"/>
    <w:rsid w:val="00D158AD"/>
    <w:rsid w:val="00D20D80"/>
    <w:rsid w:val="00D371A1"/>
    <w:rsid w:val="00D4518B"/>
    <w:rsid w:val="00D5686C"/>
    <w:rsid w:val="00D67EE3"/>
    <w:rsid w:val="00D73E3B"/>
    <w:rsid w:val="00D77B0F"/>
    <w:rsid w:val="00D84419"/>
    <w:rsid w:val="00D91071"/>
    <w:rsid w:val="00D9448E"/>
    <w:rsid w:val="00DA32A9"/>
    <w:rsid w:val="00DA634E"/>
    <w:rsid w:val="00DB1432"/>
    <w:rsid w:val="00DB4E6F"/>
    <w:rsid w:val="00DC2F6E"/>
    <w:rsid w:val="00DC4C48"/>
    <w:rsid w:val="00DD5F2D"/>
    <w:rsid w:val="00DD79BF"/>
    <w:rsid w:val="00DE294A"/>
    <w:rsid w:val="00DE61B8"/>
    <w:rsid w:val="00DF1567"/>
    <w:rsid w:val="00DF2B0F"/>
    <w:rsid w:val="00E10E2F"/>
    <w:rsid w:val="00E3445C"/>
    <w:rsid w:val="00E41484"/>
    <w:rsid w:val="00E41DB5"/>
    <w:rsid w:val="00E47C43"/>
    <w:rsid w:val="00E51446"/>
    <w:rsid w:val="00E51AEE"/>
    <w:rsid w:val="00E60D12"/>
    <w:rsid w:val="00E613BB"/>
    <w:rsid w:val="00E6368C"/>
    <w:rsid w:val="00E719F9"/>
    <w:rsid w:val="00E823A2"/>
    <w:rsid w:val="00E94FF6"/>
    <w:rsid w:val="00EB071D"/>
    <w:rsid w:val="00EC0A9D"/>
    <w:rsid w:val="00EC3DA3"/>
    <w:rsid w:val="00ED3BD8"/>
    <w:rsid w:val="00EE27A8"/>
    <w:rsid w:val="00EF1005"/>
    <w:rsid w:val="00EF7E8B"/>
    <w:rsid w:val="00F02D97"/>
    <w:rsid w:val="00F054EC"/>
    <w:rsid w:val="00F1029E"/>
    <w:rsid w:val="00F572E9"/>
    <w:rsid w:val="00F65601"/>
    <w:rsid w:val="00F710CC"/>
    <w:rsid w:val="00F747A3"/>
    <w:rsid w:val="00F80620"/>
    <w:rsid w:val="00F900CE"/>
    <w:rsid w:val="00F91B33"/>
    <w:rsid w:val="00F923CC"/>
    <w:rsid w:val="00F94961"/>
    <w:rsid w:val="00FA18B7"/>
    <w:rsid w:val="00FA251B"/>
    <w:rsid w:val="00FA7EC5"/>
    <w:rsid w:val="00FB3755"/>
    <w:rsid w:val="00FB38E6"/>
    <w:rsid w:val="00FB50BC"/>
    <w:rsid w:val="00FB59CA"/>
    <w:rsid w:val="00FB62F5"/>
    <w:rsid w:val="00FC0F19"/>
    <w:rsid w:val="00FC79C3"/>
    <w:rsid w:val="00FC7C5C"/>
    <w:rsid w:val="00FD480B"/>
    <w:rsid w:val="00FE2E59"/>
    <w:rsid w:val="00FE73DB"/>
    <w:rsid w:val="00FF0C31"/>
    <w:rsid w:val="01557A3F"/>
    <w:rsid w:val="01626D55"/>
    <w:rsid w:val="01B6046E"/>
    <w:rsid w:val="01C34939"/>
    <w:rsid w:val="023C66B8"/>
    <w:rsid w:val="024B344F"/>
    <w:rsid w:val="02A30F6E"/>
    <w:rsid w:val="02F32FFC"/>
    <w:rsid w:val="03494ECC"/>
    <w:rsid w:val="038500F8"/>
    <w:rsid w:val="03CC5ECA"/>
    <w:rsid w:val="042A0462"/>
    <w:rsid w:val="047D5273"/>
    <w:rsid w:val="048E7480"/>
    <w:rsid w:val="04AA4233"/>
    <w:rsid w:val="04C44C50"/>
    <w:rsid w:val="04EE14A4"/>
    <w:rsid w:val="0596483F"/>
    <w:rsid w:val="05C72C4A"/>
    <w:rsid w:val="072B6851"/>
    <w:rsid w:val="07724E37"/>
    <w:rsid w:val="079600FE"/>
    <w:rsid w:val="07BF12C2"/>
    <w:rsid w:val="082A5712"/>
    <w:rsid w:val="08511B7C"/>
    <w:rsid w:val="08DF64FD"/>
    <w:rsid w:val="09A824A0"/>
    <w:rsid w:val="0A2574B3"/>
    <w:rsid w:val="0A4444E4"/>
    <w:rsid w:val="0A4D7496"/>
    <w:rsid w:val="0A5151D8"/>
    <w:rsid w:val="0A575703"/>
    <w:rsid w:val="0AF7560D"/>
    <w:rsid w:val="0B3A3EBE"/>
    <w:rsid w:val="0BBE689D"/>
    <w:rsid w:val="0BC301D9"/>
    <w:rsid w:val="0BED05DB"/>
    <w:rsid w:val="0C762CD4"/>
    <w:rsid w:val="0CEC69C1"/>
    <w:rsid w:val="0CF956B3"/>
    <w:rsid w:val="0D154302"/>
    <w:rsid w:val="0D1D7190"/>
    <w:rsid w:val="0D935B07"/>
    <w:rsid w:val="0DB34DC5"/>
    <w:rsid w:val="0DCB704F"/>
    <w:rsid w:val="0E224840"/>
    <w:rsid w:val="0E807E3A"/>
    <w:rsid w:val="0F9C62AB"/>
    <w:rsid w:val="0FDF5034"/>
    <w:rsid w:val="0FF30ADF"/>
    <w:rsid w:val="10360A28"/>
    <w:rsid w:val="10482BD9"/>
    <w:rsid w:val="105B53E4"/>
    <w:rsid w:val="109A074C"/>
    <w:rsid w:val="10A4325A"/>
    <w:rsid w:val="10B95885"/>
    <w:rsid w:val="10C06C14"/>
    <w:rsid w:val="10FD39C4"/>
    <w:rsid w:val="114C5FF1"/>
    <w:rsid w:val="118123DB"/>
    <w:rsid w:val="118D31D7"/>
    <w:rsid w:val="119B5D70"/>
    <w:rsid w:val="1220184D"/>
    <w:rsid w:val="1270704D"/>
    <w:rsid w:val="12876C72"/>
    <w:rsid w:val="128D65FD"/>
    <w:rsid w:val="129F4319"/>
    <w:rsid w:val="12B26A30"/>
    <w:rsid w:val="12EC7C9C"/>
    <w:rsid w:val="13B65166"/>
    <w:rsid w:val="13C13135"/>
    <w:rsid w:val="13E9022F"/>
    <w:rsid w:val="13FD7AD9"/>
    <w:rsid w:val="140F3276"/>
    <w:rsid w:val="14193B86"/>
    <w:rsid w:val="141D5E0F"/>
    <w:rsid w:val="143E4A1F"/>
    <w:rsid w:val="144F4060"/>
    <w:rsid w:val="149208C7"/>
    <w:rsid w:val="14D26837"/>
    <w:rsid w:val="168E50BE"/>
    <w:rsid w:val="16C44F84"/>
    <w:rsid w:val="16CC1E75"/>
    <w:rsid w:val="17017F86"/>
    <w:rsid w:val="17400225"/>
    <w:rsid w:val="175B52F3"/>
    <w:rsid w:val="17AA4179"/>
    <w:rsid w:val="180A4C18"/>
    <w:rsid w:val="186F46B5"/>
    <w:rsid w:val="189F1804"/>
    <w:rsid w:val="18E31223"/>
    <w:rsid w:val="18EA696C"/>
    <w:rsid w:val="19017DC9"/>
    <w:rsid w:val="19166537"/>
    <w:rsid w:val="19525097"/>
    <w:rsid w:val="197C38F4"/>
    <w:rsid w:val="19AA0FA9"/>
    <w:rsid w:val="19B418B8"/>
    <w:rsid w:val="1A880997"/>
    <w:rsid w:val="1A8B2040"/>
    <w:rsid w:val="1A976C37"/>
    <w:rsid w:val="1AB374E2"/>
    <w:rsid w:val="1B784A1C"/>
    <w:rsid w:val="1BB27180"/>
    <w:rsid w:val="1D2642A2"/>
    <w:rsid w:val="1E430E84"/>
    <w:rsid w:val="1EA71413"/>
    <w:rsid w:val="1EE53CE9"/>
    <w:rsid w:val="1EE61F3B"/>
    <w:rsid w:val="1F8F47D3"/>
    <w:rsid w:val="20497803"/>
    <w:rsid w:val="213F6288"/>
    <w:rsid w:val="21AD2926"/>
    <w:rsid w:val="22FD1376"/>
    <w:rsid w:val="233649D3"/>
    <w:rsid w:val="237613B4"/>
    <w:rsid w:val="242A28CA"/>
    <w:rsid w:val="24523BCF"/>
    <w:rsid w:val="251B0465"/>
    <w:rsid w:val="253D7326"/>
    <w:rsid w:val="2585551C"/>
    <w:rsid w:val="25DA20CE"/>
    <w:rsid w:val="263E265D"/>
    <w:rsid w:val="27AE16A9"/>
    <w:rsid w:val="27D74B17"/>
    <w:rsid w:val="2889433C"/>
    <w:rsid w:val="28E03E9F"/>
    <w:rsid w:val="28E374EB"/>
    <w:rsid w:val="29496ECC"/>
    <w:rsid w:val="29A30860"/>
    <w:rsid w:val="2A1F4553"/>
    <w:rsid w:val="2A500BB0"/>
    <w:rsid w:val="2AE333EA"/>
    <w:rsid w:val="2AFB6D6E"/>
    <w:rsid w:val="2B6D7540"/>
    <w:rsid w:val="2B9B2B99"/>
    <w:rsid w:val="2BB4516F"/>
    <w:rsid w:val="2C5801F0"/>
    <w:rsid w:val="2C646B95"/>
    <w:rsid w:val="2D3D5B48"/>
    <w:rsid w:val="2D581074"/>
    <w:rsid w:val="2DF36570"/>
    <w:rsid w:val="2E1606DB"/>
    <w:rsid w:val="2E2831C7"/>
    <w:rsid w:val="2E9E4C51"/>
    <w:rsid w:val="2F0C4ABE"/>
    <w:rsid w:val="2F503401"/>
    <w:rsid w:val="2F8D6403"/>
    <w:rsid w:val="2FB4573E"/>
    <w:rsid w:val="2FB461D1"/>
    <w:rsid w:val="2FC17A65"/>
    <w:rsid w:val="2FEA0C29"/>
    <w:rsid w:val="303D1BD7"/>
    <w:rsid w:val="305B3E0B"/>
    <w:rsid w:val="3061222A"/>
    <w:rsid w:val="308D1737"/>
    <w:rsid w:val="3106021B"/>
    <w:rsid w:val="31653193"/>
    <w:rsid w:val="320C542C"/>
    <w:rsid w:val="322936D7"/>
    <w:rsid w:val="3264344B"/>
    <w:rsid w:val="327D450D"/>
    <w:rsid w:val="32A45F3D"/>
    <w:rsid w:val="32B617CD"/>
    <w:rsid w:val="32CE4D68"/>
    <w:rsid w:val="330F332F"/>
    <w:rsid w:val="331C5AD4"/>
    <w:rsid w:val="344B7ED9"/>
    <w:rsid w:val="34666505"/>
    <w:rsid w:val="350F0F1C"/>
    <w:rsid w:val="3518676F"/>
    <w:rsid w:val="3522139B"/>
    <w:rsid w:val="35C441A4"/>
    <w:rsid w:val="36992FA1"/>
    <w:rsid w:val="36DD0212"/>
    <w:rsid w:val="374E0226"/>
    <w:rsid w:val="37645B6D"/>
    <w:rsid w:val="37BC7885"/>
    <w:rsid w:val="38042FDA"/>
    <w:rsid w:val="38080D1C"/>
    <w:rsid w:val="38184717"/>
    <w:rsid w:val="388008B3"/>
    <w:rsid w:val="38C67D33"/>
    <w:rsid w:val="39050DB8"/>
    <w:rsid w:val="3A015A23"/>
    <w:rsid w:val="3AA472C4"/>
    <w:rsid w:val="3B674E03"/>
    <w:rsid w:val="3B691AD2"/>
    <w:rsid w:val="3BDD02C5"/>
    <w:rsid w:val="3D4E71D1"/>
    <w:rsid w:val="3D56682D"/>
    <w:rsid w:val="3DD34EFD"/>
    <w:rsid w:val="3E4458D5"/>
    <w:rsid w:val="3E5E3444"/>
    <w:rsid w:val="3EA62CD7"/>
    <w:rsid w:val="3EBD28FC"/>
    <w:rsid w:val="3EF40857"/>
    <w:rsid w:val="3F112386"/>
    <w:rsid w:val="3F161F71"/>
    <w:rsid w:val="3FC6532D"/>
    <w:rsid w:val="406903B9"/>
    <w:rsid w:val="40880C4C"/>
    <w:rsid w:val="408A636F"/>
    <w:rsid w:val="408F05F9"/>
    <w:rsid w:val="40925627"/>
    <w:rsid w:val="40980F08"/>
    <w:rsid w:val="40F46821"/>
    <w:rsid w:val="437E1E93"/>
    <w:rsid w:val="43B3461E"/>
    <w:rsid w:val="440F51E1"/>
    <w:rsid w:val="445B4DB6"/>
    <w:rsid w:val="44996E9A"/>
    <w:rsid w:val="44C147DB"/>
    <w:rsid w:val="44DE6309"/>
    <w:rsid w:val="45282005"/>
    <w:rsid w:val="45DE30BD"/>
    <w:rsid w:val="45E00BE3"/>
    <w:rsid w:val="46AD3081"/>
    <w:rsid w:val="470B7EE1"/>
    <w:rsid w:val="47413903"/>
    <w:rsid w:val="47961EA1"/>
    <w:rsid w:val="47C85DD2"/>
    <w:rsid w:val="48C93947"/>
    <w:rsid w:val="48DF209C"/>
    <w:rsid w:val="493A36B0"/>
    <w:rsid w:val="4A45370A"/>
    <w:rsid w:val="4A9401EE"/>
    <w:rsid w:val="4AA80B2F"/>
    <w:rsid w:val="4AF22A01"/>
    <w:rsid w:val="4B400582"/>
    <w:rsid w:val="4C721BF8"/>
    <w:rsid w:val="4C850C19"/>
    <w:rsid w:val="4CD51C9D"/>
    <w:rsid w:val="4CE03BBE"/>
    <w:rsid w:val="4E796078"/>
    <w:rsid w:val="4FC74BC1"/>
    <w:rsid w:val="501A3C4F"/>
    <w:rsid w:val="503009B9"/>
    <w:rsid w:val="505D6194"/>
    <w:rsid w:val="50F54C60"/>
    <w:rsid w:val="51360F4D"/>
    <w:rsid w:val="513769CE"/>
    <w:rsid w:val="51BD0E26"/>
    <w:rsid w:val="51C13FBE"/>
    <w:rsid w:val="52115BA1"/>
    <w:rsid w:val="52756B57"/>
    <w:rsid w:val="52846D9A"/>
    <w:rsid w:val="52B72F9B"/>
    <w:rsid w:val="535B75CD"/>
    <w:rsid w:val="535D1AC5"/>
    <w:rsid w:val="5382152B"/>
    <w:rsid w:val="538C1421"/>
    <w:rsid w:val="538D6EA3"/>
    <w:rsid w:val="53BC636D"/>
    <w:rsid w:val="53FA5565"/>
    <w:rsid w:val="54AE3078"/>
    <w:rsid w:val="54E81862"/>
    <w:rsid w:val="54F71AA5"/>
    <w:rsid w:val="55466588"/>
    <w:rsid w:val="556233C2"/>
    <w:rsid w:val="5617654C"/>
    <w:rsid w:val="56303A9F"/>
    <w:rsid w:val="57A411D6"/>
    <w:rsid w:val="57CA34A1"/>
    <w:rsid w:val="5805272B"/>
    <w:rsid w:val="580764A3"/>
    <w:rsid w:val="582726A1"/>
    <w:rsid w:val="599975CF"/>
    <w:rsid w:val="59E73D0F"/>
    <w:rsid w:val="59EC76FE"/>
    <w:rsid w:val="5A425322"/>
    <w:rsid w:val="5A4675AB"/>
    <w:rsid w:val="5A501A8A"/>
    <w:rsid w:val="5A5A6D5E"/>
    <w:rsid w:val="5A897C95"/>
    <w:rsid w:val="5ACE32A8"/>
    <w:rsid w:val="5B1E7D8B"/>
    <w:rsid w:val="5C7B120D"/>
    <w:rsid w:val="5C867ADA"/>
    <w:rsid w:val="5D681792"/>
    <w:rsid w:val="5D6972B8"/>
    <w:rsid w:val="5D6A375C"/>
    <w:rsid w:val="5DEA21A7"/>
    <w:rsid w:val="5DFC08AB"/>
    <w:rsid w:val="5ED8702A"/>
    <w:rsid w:val="5F0279C4"/>
    <w:rsid w:val="5F5521EA"/>
    <w:rsid w:val="5F7F2DC3"/>
    <w:rsid w:val="60487659"/>
    <w:rsid w:val="61730D12"/>
    <w:rsid w:val="61996BAE"/>
    <w:rsid w:val="625A33E9"/>
    <w:rsid w:val="625D436D"/>
    <w:rsid w:val="63FF2724"/>
    <w:rsid w:val="64C37BF6"/>
    <w:rsid w:val="64D7563A"/>
    <w:rsid w:val="65000502"/>
    <w:rsid w:val="657D3011"/>
    <w:rsid w:val="65806194"/>
    <w:rsid w:val="65CC5377"/>
    <w:rsid w:val="66E14363"/>
    <w:rsid w:val="66F50139"/>
    <w:rsid w:val="67A13C10"/>
    <w:rsid w:val="67A24F14"/>
    <w:rsid w:val="685D7846"/>
    <w:rsid w:val="690310F5"/>
    <w:rsid w:val="691B0EFE"/>
    <w:rsid w:val="69230C63"/>
    <w:rsid w:val="6983542A"/>
    <w:rsid w:val="6A070584"/>
    <w:rsid w:val="6A334ED5"/>
    <w:rsid w:val="6A500C38"/>
    <w:rsid w:val="6A584189"/>
    <w:rsid w:val="6A6D289F"/>
    <w:rsid w:val="6A942CE9"/>
    <w:rsid w:val="6AF44007"/>
    <w:rsid w:val="6B873576"/>
    <w:rsid w:val="6CEB1A97"/>
    <w:rsid w:val="6D170809"/>
    <w:rsid w:val="6D5C2995"/>
    <w:rsid w:val="6D5D0BE7"/>
    <w:rsid w:val="6D9C0FE4"/>
    <w:rsid w:val="6DA145CA"/>
    <w:rsid w:val="6DD61B41"/>
    <w:rsid w:val="6DF4388B"/>
    <w:rsid w:val="6E4965FC"/>
    <w:rsid w:val="6F193696"/>
    <w:rsid w:val="6F1A662E"/>
    <w:rsid w:val="6F653D83"/>
    <w:rsid w:val="6FA8783E"/>
    <w:rsid w:val="70100167"/>
    <w:rsid w:val="703F45D4"/>
    <w:rsid w:val="70D171F6"/>
    <w:rsid w:val="714B246D"/>
    <w:rsid w:val="717A2FBC"/>
    <w:rsid w:val="718E1C5D"/>
    <w:rsid w:val="71E03B95"/>
    <w:rsid w:val="720F536D"/>
    <w:rsid w:val="721B4BCD"/>
    <w:rsid w:val="72646574"/>
    <w:rsid w:val="72B648F6"/>
    <w:rsid w:val="73727874"/>
    <w:rsid w:val="73FE4ED9"/>
    <w:rsid w:val="74027162"/>
    <w:rsid w:val="748E25CA"/>
    <w:rsid w:val="74AF2AFE"/>
    <w:rsid w:val="74DB6895"/>
    <w:rsid w:val="753B726A"/>
    <w:rsid w:val="75D94B83"/>
    <w:rsid w:val="75E8126A"/>
    <w:rsid w:val="75F0011F"/>
    <w:rsid w:val="76446418"/>
    <w:rsid w:val="7646191B"/>
    <w:rsid w:val="76764668"/>
    <w:rsid w:val="76CF5F86"/>
    <w:rsid w:val="77334A1B"/>
    <w:rsid w:val="776E3D13"/>
    <w:rsid w:val="785901FD"/>
    <w:rsid w:val="78850988"/>
    <w:rsid w:val="788F055B"/>
    <w:rsid w:val="78B26191"/>
    <w:rsid w:val="795821A2"/>
    <w:rsid w:val="795934A7"/>
    <w:rsid w:val="79A67472"/>
    <w:rsid w:val="7A2B3E1B"/>
    <w:rsid w:val="7BFD4E3C"/>
    <w:rsid w:val="7C57180B"/>
    <w:rsid w:val="7C62561D"/>
    <w:rsid w:val="7CC321BF"/>
    <w:rsid w:val="7D2F59D0"/>
    <w:rsid w:val="7DB54128"/>
    <w:rsid w:val="7ED10C1A"/>
    <w:rsid w:val="7F066EF6"/>
    <w:rsid w:val="7F0F1D84"/>
    <w:rsid w:val="7F6D27E0"/>
    <w:rsid w:val="7F710522"/>
    <w:rsid w:val="7F7207A3"/>
    <w:rsid w:val="7F8B38CC"/>
    <w:rsid w:val="7F914720"/>
    <w:rsid w:val="7FC811B2"/>
    <w:rsid w:val="B67F3CC1"/>
    <w:rsid w:val="C5BE1D45"/>
    <w:rsid w:val="E52F10C4"/>
    <w:rsid w:val="FF8B16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rFonts w:cs="Times New Roman"/>
      <w:b/>
      <w:bCs/>
      <w:kern w:val="44"/>
      <w:sz w:val="44"/>
      <w:szCs w:val="44"/>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widowControl w:val="0"/>
      <w:ind w:left="2520" w:leftChars="1200"/>
      <w:jc w:val="both"/>
    </w:pPr>
    <w:rPr>
      <w:rFonts w:ascii="Calibri" w:hAnsi="Calibri" w:eastAsia="宋体" w:cs="Times New Roman"/>
      <w:kern w:val="2"/>
      <w:sz w:val="21"/>
      <w:szCs w:val="22"/>
    </w:rPr>
  </w:style>
  <w:style w:type="paragraph" w:styleId="4">
    <w:name w:val="Document Map"/>
    <w:basedOn w:val="1"/>
    <w:link w:val="30"/>
    <w:unhideWhenUsed/>
    <w:qFormat/>
    <w:uiPriority w:val="99"/>
    <w:rPr>
      <w:rFonts w:cs="Times New Roman"/>
      <w:sz w:val="18"/>
      <w:szCs w:val="18"/>
    </w:rPr>
  </w:style>
  <w:style w:type="paragraph" w:styleId="5">
    <w:name w:val="annotation text"/>
    <w:basedOn w:val="1"/>
    <w:link w:val="31"/>
    <w:autoRedefine/>
    <w:unhideWhenUsed/>
    <w:qFormat/>
    <w:uiPriority w:val="99"/>
    <w:rPr>
      <w:rFonts w:cs="Times New Roman"/>
    </w:rPr>
  </w:style>
  <w:style w:type="paragraph" w:styleId="6">
    <w:name w:val="toc 5"/>
    <w:basedOn w:val="1"/>
    <w:next w:val="1"/>
    <w:autoRedefine/>
    <w:qFormat/>
    <w:uiPriority w:val="39"/>
    <w:pPr>
      <w:widowControl w:val="0"/>
      <w:tabs>
        <w:tab w:val="right" w:leader="dot" w:pos="8296"/>
      </w:tabs>
      <w:ind w:left="1050" w:leftChars="500"/>
      <w:jc w:val="both"/>
    </w:pPr>
    <w:rPr>
      <w:rFonts w:ascii="Calibri" w:hAnsi="Calibri" w:cs="Times New Roman"/>
      <w:kern w:val="2"/>
      <w:sz w:val="21"/>
      <w:szCs w:val="22"/>
    </w:rPr>
  </w:style>
  <w:style w:type="paragraph" w:styleId="7">
    <w:name w:val="toc 3"/>
    <w:basedOn w:val="1"/>
    <w:next w:val="1"/>
    <w:qFormat/>
    <w:uiPriority w:val="39"/>
    <w:pPr>
      <w:widowControl w:val="0"/>
      <w:ind w:left="840" w:leftChars="400"/>
      <w:jc w:val="both"/>
    </w:pPr>
    <w:rPr>
      <w:rFonts w:ascii="Calibri" w:hAnsi="Calibri" w:cs="Times New Roman"/>
      <w:kern w:val="2"/>
      <w:sz w:val="21"/>
      <w:szCs w:val="22"/>
    </w:rPr>
  </w:style>
  <w:style w:type="paragraph" w:styleId="8">
    <w:name w:val="toc 8"/>
    <w:basedOn w:val="1"/>
    <w:next w:val="1"/>
    <w:autoRedefine/>
    <w:unhideWhenUsed/>
    <w:qFormat/>
    <w:uiPriority w:val="39"/>
    <w:pPr>
      <w:widowControl w:val="0"/>
      <w:ind w:left="2940" w:leftChars="1400"/>
      <w:jc w:val="both"/>
    </w:pPr>
    <w:rPr>
      <w:rFonts w:ascii="Calibri" w:hAnsi="Calibri" w:eastAsia="宋体" w:cs="Times New Roman"/>
      <w:kern w:val="2"/>
      <w:sz w:val="21"/>
      <w:szCs w:val="22"/>
    </w:rPr>
  </w:style>
  <w:style w:type="paragraph" w:styleId="9">
    <w:name w:val="Date"/>
    <w:basedOn w:val="1"/>
    <w:next w:val="1"/>
    <w:link w:val="32"/>
    <w:autoRedefine/>
    <w:unhideWhenUsed/>
    <w:qFormat/>
    <w:uiPriority w:val="99"/>
    <w:pPr>
      <w:ind w:left="100" w:leftChars="2500"/>
    </w:pPr>
    <w:rPr>
      <w:rFonts w:cs="Times New Roman"/>
    </w:rPr>
  </w:style>
  <w:style w:type="paragraph" w:styleId="10">
    <w:name w:val="Balloon Text"/>
    <w:basedOn w:val="1"/>
    <w:link w:val="33"/>
    <w:autoRedefine/>
    <w:unhideWhenUsed/>
    <w:qFormat/>
    <w:uiPriority w:val="99"/>
    <w:rPr>
      <w:rFonts w:cs="Times New Roman"/>
      <w:sz w:val="18"/>
      <w:szCs w:val="18"/>
    </w:rPr>
  </w:style>
  <w:style w:type="paragraph" w:styleId="11">
    <w:name w:val="footer"/>
    <w:basedOn w:val="1"/>
    <w:link w:val="34"/>
    <w:autoRedefine/>
    <w:unhideWhenUsed/>
    <w:qFormat/>
    <w:uiPriority w:val="0"/>
    <w:pPr>
      <w:tabs>
        <w:tab w:val="center" w:pos="4153"/>
        <w:tab w:val="right" w:pos="8306"/>
      </w:tabs>
      <w:snapToGrid w:val="0"/>
    </w:pPr>
    <w:rPr>
      <w:rFonts w:cs="Times New Roman"/>
      <w:sz w:val="18"/>
      <w:szCs w:val="18"/>
    </w:rPr>
  </w:style>
  <w:style w:type="paragraph" w:styleId="12">
    <w:name w:val="header"/>
    <w:basedOn w:val="1"/>
    <w:link w:val="35"/>
    <w:autoRedefine/>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3">
    <w:name w:val="toc 1"/>
    <w:basedOn w:val="1"/>
    <w:next w:val="1"/>
    <w:autoRedefine/>
    <w:unhideWhenUsed/>
    <w:qFormat/>
    <w:uiPriority w:val="39"/>
    <w:rPr>
      <w:rFonts w:eastAsia="黑体"/>
      <w:sz w:val="28"/>
    </w:rPr>
  </w:style>
  <w:style w:type="paragraph" w:styleId="14">
    <w:name w:val="toc 4"/>
    <w:basedOn w:val="1"/>
    <w:next w:val="1"/>
    <w:autoRedefine/>
    <w:qFormat/>
    <w:uiPriority w:val="39"/>
    <w:pPr>
      <w:widowControl w:val="0"/>
      <w:tabs>
        <w:tab w:val="left" w:pos="1890"/>
        <w:tab w:val="right" w:leader="dot" w:pos="8296"/>
      </w:tabs>
      <w:ind w:left="630" w:leftChars="300"/>
      <w:jc w:val="both"/>
    </w:pPr>
    <w:rPr>
      <w:rFonts w:ascii="Calibri" w:hAnsi="Calibri" w:cs="Times New Roman"/>
      <w:kern w:val="2"/>
      <w:sz w:val="21"/>
      <w:szCs w:val="22"/>
    </w:rPr>
  </w:style>
  <w:style w:type="paragraph" w:styleId="15">
    <w:name w:val="Subtitle"/>
    <w:basedOn w:val="1"/>
    <w:next w:val="1"/>
    <w:link w:val="36"/>
    <w:autoRedefine/>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16">
    <w:name w:val="toc 6"/>
    <w:basedOn w:val="1"/>
    <w:next w:val="1"/>
    <w:autoRedefine/>
    <w:unhideWhenUsed/>
    <w:qFormat/>
    <w:uiPriority w:val="39"/>
    <w:pPr>
      <w:widowControl w:val="0"/>
      <w:ind w:left="2100" w:leftChars="1000"/>
      <w:jc w:val="both"/>
    </w:pPr>
    <w:rPr>
      <w:rFonts w:ascii="Calibri" w:hAnsi="Calibri" w:eastAsia="宋体" w:cs="Times New Roman"/>
      <w:kern w:val="2"/>
      <w:sz w:val="21"/>
      <w:szCs w:val="22"/>
    </w:rPr>
  </w:style>
  <w:style w:type="paragraph" w:styleId="17">
    <w:name w:val="toc 2"/>
    <w:basedOn w:val="1"/>
    <w:next w:val="1"/>
    <w:autoRedefine/>
    <w:unhideWhenUsed/>
    <w:qFormat/>
    <w:uiPriority w:val="39"/>
    <w:pPr>
      <w:ind w:left="420" w:leftChars="200"/>
    </w:pPr>
  </w:style>
  <w:style w:type="paragraph" w:styleId="18">
    <w:name w:val="toc 9"/>
    <w:basedOn w:val="1"/>
    <w:next w:val="1"/>
    <w:autoRedefine/>
    <w:unhideWhenUsed/>
    <w:qFormat/>
    <w:uiPriority w:val="39"/>
    <w:pPr>
      <w:widowControl w:val="0"/>
      <w:ind w:left="3360" w:leftChars="1600"/>
      <w:jc w:val="both"/>
    </w:pPr>
    <w:rPr>
      <w:rFonts w:ascii="Calibri" w:hAnsi="Calibri" w:eastAsia="宋体" w:cs="Times New Roman"/>
      <w:kern w:val="2"/>
      <w:sz w:val="21"/>
      <w:szCs w:val="22"/>
    </w:rPr>
  </w:style>
  <w:style w:type="paragraph" w:styleId="19">
    <w:name w:val="Normal (Web)"/>
    <w:basedOn w:val="1"/>
    <w:autoRedefine/>
    <w:unhideWhenUsed/>
    <w:qFormat/>
    <w:uiPriority w:val="99"/>
    <w:pPr>
      <w:spacing w:before="100" w:beforeLines="0" w:beforeAutospacing="1" w:after="100" w:afterLines="0" w:afterAutospacing="1"/>
    </w:pPr>
  </w:style>
  <w:style w:type="paragraph" w:styleId="20">
    <w:name w:val="Title"/>
    <w:basedOn w:val="1"/>
    <w:next w:val="1"/>
    <w:link w:val="37"/>
    <w:autoRedefine/>
    <w:qFormat/>
    <w:uiPriority w:val="10"/>
    <w:pPr>
      <w:spacing w:before="60" w:after="60"/>
      <w:jc w:val="center"/>
      <w:outlineLvl w:val="0"/>
    </w:pPr>
    <w:rPr>
      <w:rFonts w:ascii="Cambria" w:hAnsi="Cambria" w:cs="Times New Roman"/>
      <w:b/>
      <w:bCs/>
      <w:szCs w:val="32"/>
    </w:rPr>
  </w:style>
  <w:style w:type="paragraph" w:styleId="21">
    <w:name w:val="annotation subject"/>
    <w:basedOn w:val="5"/>
    <w:next w:val="5"/>
    <w:link w:val="38"/>
    <w:autoRedefine/>
    <w:unhideWhenUsed/>
    <w:qFormat/>
    <w:uiPriority w:val="99"/>
    <w:rPr>
      <w:b/>
      <w:bCs/>
    </w:rPr>
  </w:style>
  <w:style w:type="table" w:styleId="23">
    <w:name w:val="Table Grid"/>
    <w:basedOn w:val="2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unhideWhenUsed/>
    <w:qFormat/>
    <w:uiPriority w:val="99"/>
  </w:style>
  <w:style w:type="character" w:styleId="26">
    <w:name w:val="FollowedHyperlink"/>
    <w:autoRedefine/>
    <w:unhideWhenUsed/>
    <w:qFormat/>
    <w:uiPriority w:val="99"/>
    <w:rPr>
      <w:color w:val="800080"/>
      <w:u w:val="single"/>
    </w:rPr>
  </w:style>
  <w:style w:type="character" w:styleId="27">
    <w:name w:val="Hyperlink"/>
    <w:autoRedefine/>
    <w:unhideWhenUsed/>
    <w:qFormat/>
    <w:uiPriority w:val="99"/>
    <w:rPr>
      <w:color w:val="0000FF"/>
      <w:u w:val="single"/>
    </w:rPr>
  </w:style>
  <w:style w:type="character" w:styleId="28">
    <w:name w:val="annotation reference"/>
    <w:autoRedefine/>
    <w:unhideWhenUsed/>
    <w:qFormat/>
    <w:uiPriority w:val="99"/>
    <w:rPr>
      <w:sz w:val="21"/>
      <w:szCs w:val="21"/>
    </w:rPr>
  </w:style>
  <w:style w:type="character" w:customStyle="1" w:styleId="29">
    <w:name w:val="标题 1 字符"/>
    <w:link w:val="2"/>
    <w:autoRedefine/>
    <w:qFormat/>
    <w:uiPriority w:val="9"/>
    <w:rPr>
      <w:rFonts w:ascii="宋体" w:hAnsi="宋体" w:cs="宋体"/>
      <w:b/>
      <w:bCs/>
      <w:kern w:val="44"/>
      <w:sz w:val="44"/>
      <w:szCs w:val="44"/>
    </w:rPr>
  </w:style>
  <w:style w:type="character" w:customStyle="1" w:styleId="30">
    <w:name w:val="文档结构图 字符"/>
    <w:link w:val="4"/>
    <w:autoRedefine/>
    <w:semiHidden/>
    <w:qFormat/>
    <w:uiPriority w:val="99"/>
    <w:rPr>
      <w:rFonts w:ascii="宋体" w:hAnsi="宋体" w:cs="宋体"/>
      <w:sz w:val="18"/>
      <w:szCs w:val="18"/>
    </w:rPr>
  </w:style>
  <w:style w:type="character" w:customStyle="1" w:styleId="31">
    <w:name w:val="批注文字 字符"/>
    <w:link w:val="5"/>
    <w:autoRedefine/>
    <w:semiHidden/>
    <w:qFormat/>
    <w:uiPriority w:val="99"/>
    <w:rPr>
      <w:rFonts w:ascii="宋体" w:hAnsi="宋体" w:cs="宋体"/>
      <w:sz w:val="24"/>
      <w:szCs w:val="24"/>
    </w:rPr>
  </w:style>
  <w:style w:type="character" w:customStyle="1" w:styleId="32">
    <w:name w:val="日期 字符"/>
    <w:link w:val="9"/>
    <w:autoRedefine/>
    <w:semiHidden/>
    <w:qFormat/>
    <w:uiPriority w:val="99"/>
    <w:rPr>
      <w:rFonts w:ascii="宋体" w:hAnsi="宋体" w:cs="宋体"/>
      <w:sz w:val="24"/>
      <w:szCs w:val="24"/>
    </w:rPr>
  </w:style>
  <w:style w:type="character" w:customStyle="1" w:styleId="33">
    <w:name w:val="批注框文本 字符"/>
    <w:link w:val="10"/>
    <w:autoRedefine/>
    <w:semiHidden/>
    <w:qFormat/>
    <w:uiPriority w:val="99"/>
    <w:rPr>
      <w:rFonts w:ascii="宋体" w:hAnsi="宋体" w:cs="宋体"/>
      <w:sz w:val="18"/>
      <w:szCs w:val="18"/>
    </w:rPr>
  </w:style>
  <w:style w:type="character" w:customStyle="1" w:styleId="34">
    <w:name w:val="页脚 字符"/>
    <w:link w:val="11"/>
    <w:autoRedefine/>
    <w:qFormat/>
    <w:uiPriority w:val="0"/>
    <w:rPr>
      <w:rFonts w:ascii="宋体" w:hAnsi="宋体" w:eastAsia="宋体" w:cs="宋体"/>
      <w:sz w:val="18"/>
      <w:szCs w:val="18"/>
    </w:rPr>
  </w:style>
  <w:style w:type="character" w:customStyle="1" w:styleId="35">
    <w:name w:val="页眉 字符1"/>
    <w:link w:val="12"/>
    <w:autoRedefine/>
    <w:semiHidden/>
    <w:qFormat/>
    <w:uiPriority w:val="99"/>
    <w:rPr>
      <w:rFonts w:ascii="宋体" w:hAnsi="宋体" w:eastAsia="宋体" w:cs="宋体"/>
      <w:sz w:val="18"/>
      <w:szCs w:val="18"/>
    </w:rPr>
  </w:style>
  <w:style w:type="character" w:customStyle="1" w:styleId="36">
    <w:name w:val="副标题 字符"/>
    <w:link w:val="15"/>
    <w:qFormat/>
    <w:uiPriority w:val="11"/>
    <w:rPr>
      <w:rFonts w:ascii="Calibri Light" w:hAnsi="Calibri Light" w:cs="Times New Roman"/>
      <w:b/>
      <w:bCs/>
      <w:kern w:val="28"/>
      <w:sz w:val="32"/>
      <w:szCs w:val="32"/>
    </w:rPr>
  </w:style>
  <w:style w:type="character" w:customStyle="1" w:styleId="37">
    <w:name w:val="标题 字符"/>
    <w:link w:val="20"/>
    <w:qFormat/>
    <w:uiPriority w:val="10"/>
    <w:rPr>
      <w:rFonts w:ascii="Cambria" w:hAnsi="Cambria"/>
      <w:b/>
      <w:bCs/>
      <w:sz w:val="24"/>
      <w:szCs w:val="32"/>
    </w:rPr>
  </w:style>
  <w:style w:type="character" w:customStyle="1" w:styleId="38">
    <w:name w:val="批注主题 字符"/>
    <w:link w:val="21"/>
    <w:semiHidden/>
    <w:qFormat/>
    <w:uiPriority w:val="99"/>
    <w:rPr>
      <w:rFonts w:ascii="宋体" w:hAnsi="宋体" w:cs="宋体"/>
      <w:b/>
      <w:bCs/>
      <w:sz w:val="24"/>
      <w:szCs w:val="24"/>
    </w:rPr>
  </w:style>
  <w:style w:type="character" w:customStyle="1" w:styleId="39">
    <w:name w:val="15"/>
    <w:qFormat/>
    <w:uiPriority w:val="0"/>
    <w:rPr>
      <w:rFonts w:hint="default" w:ascii="Times New Roman" w:hAnsi="Times New Roman" w:cs="Times New Roman"/>
      <w:color w:val="464445"/>
      <w:u w:val="none"/>
    </w:rPr>
  </w:style>
  <w:style w:type="paragraph" w:customStyle="1" w:styleId="40">
    <w:name w:val="stitle"/>
    <w:basedOn w:val="1"/>
    <w:qFormat/>
    <w:uiPriority w:val="0"/>
    <w:pPr>
      <w:spacing w:before="100" w:beforeLines="0" w:beforeAutospacing="1" w:after="100" w:afterLines="0" w:afterAutospacing="1"/>
    </w:pPr>
    <w:rPr>
      <w:smallCaps/>
      <w:color w:val="000000"/>
      <w:sz w:val="20"/>
      <w:szCs w:val="20"/>
    </w:rPr>
  </w:style>
  <w:style w:type="paragraph" w:customStyle="1" w:styleId="41">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42">
    <w:name w:val="tiao"/>
    <w:basedOn w:val="1"/>
    <w:qFormat/>
    <w:uiPriority w:val="0"/>
    <w:pPr>
      <w:shd w:val="clear" w:color="auto" w:fill="AFEEEE"/>
      <w:spacing w:before="100" w:beforeLines="0" w:beforeAutospacing="1" w:after="100" w:afterLines="0" w:afterAutospacing="1"/>
    </w:pPr>
    <w:rPr>
      <w:i/>
      <w:iCs/>
      <w:smallCaps/>
      <w:color w:val="6600CC"/>
      <w:sz w:val="20"/>
      <w:szCs w:val="20"/>
    </w:rPr>
  </w:style>
  <w:style w:type="paragraph" w:customStyle="1" w:styleId="43">
    <w:name w:val="content"/>
    <w:basedOn w:val="1"/>
    <w:qFormat/>
    <w:uiPriority w:val="0"/>
    <w:pPr>
      <w:spacing w:before="100" w:beforeLines="0" w:beforeAutospacing="1" w:after="100" w:afterLines="0" w:afterAutospacing="1" w:line="384" w:lineRule="auto"/>
    </w:pPr>
    <w:rPr>
      <w:sz w:val="18"/>
      <w:szCs w:val="18"/>
    </w:rPr>
  </w:style>
  <w:style w:type="paragraph" w:customStyle="1" w:styleId="44">
    <w:name w:val="mtitle"/>
    <w:basedOn w:val="1"/>
    <w:qFormat/>
    <w:uiPriority w:val="0"/>
    <w:pPr>
      <w:spacing w:before="100" w:beforeLines="0" w:beforeAutospacing="1" w:after="100" w:afterLines="0" w:afterAutospacing="1" w:line="336" w:lineRule="auto"/>
    </w:pPr>
    <w:rPr>
      <w:b/>
      <w:bCs/>
      <w:smallCaps/>
      <w:color w:val="000000"/>
      <w:sz w:val="20"/>
      <w:szCs w:val="20"/>
    </w:rPr>
  </w:style>
  <w:style w:type="paragraph" w:customStyle="1" w:styleId="45">
    <w:name w:val="mnotes"/>
    <w:basedOn w:val="1"/>
    <w:qFormat/>
    <w:uiPriority w:val="0"/>
    <w:pPr>
      <w:shd w:val="clear" w:color="auto" w:fill="AFEEEE"/>
      <w:spacing w:before="100" w:beforeLines="0" w:beforeAutospacing="1" w:after="100" w:afterLines="0" w:afterAutospacing="1" w:line="336" w:lineRule="auto"/>
    </w:pPr>
    <w:rPr>
      <w:smallCaps/>
      <w:color w:val="008080"/>
      <w:sz w:val="20"/>
      <w:szCs w:val="20"/>
    </w:rPr>
  </w:style>
  <w:style w:type="paragraph" w:customStyle="1" w:styleId="46">
    <w:name w:val="p17"/>
    <w:basedOn w:val="1"/>
    <w:qFormat/>
    <w:uiPriority w:val="0"/>
    <w:pPr>
      <w:jc w:val="both"/>
    </w:pPr>
    <w:rPr>
      <w:rFonts w:ascii="Times New Roman" w:hAnsi="Times New Roman" w:cs="Times New Roman"/>
      <w:sz w:val="21"/>
      <w:szCs w:val="21"/>
    </w:rPr>
  </w:style>
  <w:style w:type="paragraph" w:customStyle="1" w:styleId="47">
    <w:name w:val="tiaonoa"/>
    <w:basedOn w:val="1"/>
    <w:qFormat/>
    <w:uiPriority w:val="0"/>
    <w:pPr>
      <w:spacing w:before="100" w:beforeLines="0" w:beforeAutospacing="1" w:after="100" w:afterLines="0" w:afterAutospacing="1"/>
    </w:pPr>
    <w:rPr>
      <w:b/>
      <w:bCs/>
      <w:smallCaps/>
      <w:color w:val="000000"/>
      <w:sz w:val="18"/>
      <w:szCs w:val="18"/>
    </w:rPr>
  </w:style>
  <w:style w:type="paragraph" w:customStyle="1" w:styleId="48">
    <w:name w:val="p0"/>
    <w:basedOn w:val="1"/>
    <w:qFormat/>
    <w:uiPriority w:val="0"/>
    <w:pPr>
      <w:jc w:val="both"/>
    </w:pPr>
    <w:rPr>
      <w:rFonts w:ascii="Times New Roman" w:hAnsi="Times New Roman" w:cs="Times New Roman"/>
      <w:sz w:val="21"/>
      <w:szCs w:val="21"/>
    </w:rPr>
  </w:style>
  <w:style w:type="paragraph" w:customStyle="1" w:styleId="49">
    <w:name w:val="tiaoyin"/>
    <w:basedOn w:val="1"/>
    <w:qFormat/>
    <w:uiPriority w:val="0"/>
    <w:pPr>
      <w:spacing w:before="100" w:beforeLines="0" w:beforeAutospacing="1" w:after="100" w:afterLines="0" w:afterAutospacing="1"/>
    </w:pPr>
    <w:rPr>
      <w:smallCaps/>
      <w:color w:val="FF0000"/>
      <w:sz w:val="20"/>
      <w:szCs w:val="20"/>
    </w:rPr>
  </w:style>
  <w:style w:type="paragraph" w:customStyle="1" w:styleId="50">
    <w:name w:val="_Style 49"/>
    <w:basedOn w:val="2"/>
    <w:next w:val="1"/>
    <w:qFormat/>
    <w:uiPriority w:val="0"/>
    <w:pPr>
      <w:widowControl w:val="0"/>
      <w:spacing w:line="576" w:lineRule="auto"/>
      <w:jc w:val="both"/>
      <w:outlineLvl w:val="9"/>
    </w:pPr>
    <w:rPr>
      <w:rFonts w:ascii="Calibri" w:hAnsi="Calibri" w:cs="Times New Roman"/>
    </w:rPr>
  </w:style>
  <w:style w:type="character" w:customStyle="1" w:styleId="51">
    <w:name w:val="页眉 字符"/>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5867</Words>
  <Characters>6327</Characters>
  <Lines>18</Lines>
  <Paragraphs>5</Paragraphs>
  <TotalTime>2</TotalTime>
  <ScaleCrop>false</ScaleCrop>
  <LinksUpToDate>false</LinksUpToDate>
  <CharactersWithSpaces>6603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2023-10-12T06:46:00Z</dcterms:created>
  <dc:creator>hp</dc:creator>
  <cp:lastModifiedBy>汪大大哥哥</cp:lastModifiedBy>
  <cp:lastPrinted>2015-09-03T09:39:00Z</cp:lastPrinted>
  <dcterms:modified xsi:type="dcterms:W3CDTF">2025-03-14T05:41:13Z</dcterms:modified>
  <dc:title>建设部、国家工商行政管理总局关于印发《建设工程造价咨询合同(示范文本)》的通知--北大法宝--北大法律信息网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7D7492417A00465FA2C16C4AD7F6C7AD_13</vt:lpwstr>
  </property>
  <property fmtid="{D5CDD505-2E9C-101B-9397-08002B2CF9AE}" pid="4" name="KSOTemplateDocerSaveRecord">
    <vt:lpwstr>eyJoZGlkIjoiZjhjYTQ1Mzk0ZTYyNGFkOTBhNzYzZDQwNjY0OWVjNzYiLCJ1c2VySWQiOiIxMTcyMzQwNDExIn0=</vt:lpwstr>
  </property>
</Properties>
</file>