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920"/>
          <w:tab w:val="left" w:pos="8280"/>
        </w:tabs>
        <w:ind w:right="1260" w:rightChars="600"/>
        <w:jc w:val="center"/>
        <w:rPr>
          <w:b/>
          <w:bCs/>
          <w:color w:val="000000"/>
          <w:sz w:val="32"/>
        </w:rPr>
      </w:pPr>
      <w:r>
        <w:rPr>
          <w:rFonts w:hint="eastAsia"/>
          <w:b/>
          <w:bCs/>
          <w:color w:val="000000"/>
          <w:sz w:val="32"/>
        </w:rPr>
        <w:t>2025年桐庐县老旧小区综合改造提升工程二期(文辉商住楼、云水公寓)工程量（招标控制价）编制说明</w:t>
      </w:r>
    </w:p>
    <w:p>
      <w:pPr>
        <w:numPr>
          <w:ilvl w:val="0"/>
          <w:numId w:val="1"/>
        </w:numPr>
        <w:spacing w:line="360" w:lineRule="auto"/>
        <w:rPr>
          <w:b/>
          <w:color w:val="FF0000"/>
          <w:sz w:val="24"/>
        </w:rPr>
      </w:pPr>
      <w:r>
        <w:rPr>
          <w:rFonts w:hint="eastAsia"/>
          <w:b/>
          <w:color w:val="FF0000"/>
          <w:sz w:val="24"/>
        </w:rPr>
        <w:t>工程概况</w:t>
      </w:r>
    </w:p>
    <w:p>
      <w:pPr>
        <w:numPr>
          <w:ilvl w:val="0"/>
          <w:numId w:val="2"/>
        </w:numPr>
        <w:spacing w:line="360" w:lineRule="auto"/>
        <w:rPr>
          <w:sz w:val="24"/>
        </w:rPr>
      </w:pPr>
      <w:r>
        <w:rPr>
          <w:rFonts w:hint="eastAsia"/>
          <w:b/>
          <w:sz w:val="24"/>
        </w:rPr>
        <w:t>工程地址：</w:t>
      </w:r>
      <w:r>
        <w:rPr>
          <w:rFonts w:hint="eastAsia"/>
          <w:szCs w:val="21"/>
        </w:rPr>
        <w:t>杭州市桐庐县；</w:t>
      </w:r>
    </w:p>
    <w:p>
      <w:pPr>
        <w:numPr>
          <w:ilvl w:val="0"/>
          <w:numId w:val="2"/>
        </w:numPr>
        <w:spacing w:line="360" w:lineRule="auto"/>
        <w:rPr>
          <w:rFonts w:ascii="仿宋_GB2312" w:hAnsi="宋体" w:eastAsia="仿宋_GB2312"/>
          <w:color w:val="000000"/>
          <w:sz w:val="24"/>
        </w:rPr>
      </w:pPr>
      <w:r>
        <w:rPr>
          <w:rFonts w:hint="eastAsia"/>
          <w:b/>
          <w:sz w:val="24"/>
        </w:rPr>
        <w:t>工程特点：</w:t>
      </w:r>
      <w:r>
        <w:rPr>
          <w:rFonts w:hint="eastAsia"/>
          <w:szCs w:val="21"/>
        </w:rPr>
        <w:t>本工程为</w:t>
      </w:r>
      <w:r>
        <w:rPr>
          <w:rFonts w:hint="eastAsia"/>
          <w:szCs w:val="21"/>
          <w:lang w:val="en-US" w:eastAsia="zh-CN"/>
        </w:rPr>
        <w:t>道路提升、新建路灯及监控、围墙改建及绿化等工程；</w:t>
      </w:r>
    </w:p>
    <w:p>
      <w:pPr>
        <w:numPr>
          <w:ilvl w:val="0"/>
          <w:numId w:val="2"/>
        </w:numPr>
        <w:spacing w:line="360" w:lineRule="auto"/>
        <w:rPr>
          <w:sz w:val="24"/>
        </w:rPr>
      </w:pPr>
      <w:r>
        <w:rPr>
          <w:rFonts w:hint="eastAsia"/>
          <w:b/>
          <w:sz w:val="24"/>
        </w:rPr>
        <w:t>计划工期：</w:t>
      </w:r>
      <w:r>
        <w:rPr>
          <w:rFonts w:hint="eastAsia"/>
          <w:szCs w:val="21"/>
        </w:rPr>
        <w:t>详见招标文件；</w:t>
      </w:r>
    </w:p>
    <w:p>
      <w:pPr>
        <w:numPr>
          <w:ilvl w:val="0"/>
          <w:numId w:val="2"/>
        </w:numPr>
        <w:spacing w:line="360" w:lineRule="auto"/>
        <w:rPr>
          <w:sz w:val="24"/>
        </w:rPr>
      </w:pPr>
      <w:r>
        <w:rPr>
          <w:rFonts w:hint="eastAsia"/>
          <w:b/>
          <w:sz w:val="24"/>
        </w:rPr>
        <w:t>环境保护要求：</w:t>
      </w:r>
      <w:r>
        <w:rPr>
          <w:rFonts w:hint="eastAsia"/>
          <w:szCs w:val="21"/>
        </w:rPr>
        <w:t>符合国家、省、市及工程所在地有关绿色施工，环境保护等要求；</w:t>
      </w:r>
    </w:p>
    <w:p>
      <w:pPr>
        <w:numPr>
          <w:ilvl w:val="0"/>
          <w:numId w:val="1"/>
        </w:numPr>
        <w:spacing w:line="360" w:lineRule="auto"/>
        <w:rPr>
          <w:b/>
          <w:color w:val="FF0000"/>
          <w:sz w:val="24"/>
        </w:rPr>
      </w:pPr>
      <w:r>
        <w:rPr>
          <w:rFonts w:hint="eastAsia"/>
          <w:b/>
          <w:color w:val="FF0000"/>
          <w:sz w:val="24"/>
        </w:rPr>
        <w:t>工程招标及分包范围：</w:t>
      </w:r>
    </w:p>
    <w:p>
      <w:pPr>
        <w:spacing w:line="360" w:lineRule="auto"/>
        <w:ind w:left="420"/>
        <w:rPr>
          <w:szCs w:val="21"/>
        </w:rPr>
      </w:pPr>
      <w:r>
        <w:rPr>
          <w:rFonts w:hint="eastAsia"/>
          <w:szCs w:val="21"/>
        </w:rPr>
        <w:t>（一）、招标范围：</w:t>
      </w:r>
    </w:p>
    <w:p>
      <w:pPr>
        <w:spacing w:line="360" w:lineRule="auto"/>
        <w:ind w:left="420"/>
        <w:rPr>
          <w:szCs w:val="21"/>
        </w:rPr>
      </w:pPr>
      <w:r>
        <w:rPr>
          <w:rFonts w:hint="eastAsia"/>
          <w:szCs w:val="21"/>
        </w:rPr>
        <w:t xml:space="preserve">   1、施工图范围内所有工程量（除本编制说明中注明的除外）;</w:t>
      </w:r>
    </w:p>
    <w:p>
      <w:pPr>
        <w:numPr>
          <w:ilvl w:val="0"/>
          <w:numId w:val="1"/>
        </w:numPr>
        <w:spacing w:line="360" w:lineRule="auto"/>
        <w:rPr>
          <w:b/>
          <w:color w:val="FF0000"/>
          <w:sz w:val="24"/>
        </w:rPr>
      </w:pPr>
      <w:r>
        <w:rPr>
          <w:b/>
          <w:color w:val="FF0000"/>
          <w:sz w:val="24"/>
        </w:rPr>
        <w:t>工程量清单</w:t>
      </w:r>
      <w:r>
        <w:rPr>
          <w:rFonts w:hint="eastAsia"/>
          <w:b/>
          <w:color w:val="FF0000"/>
          <w:sz w:val="24"/>
        </w:rPr>
        <w:t>（招标控制价）</w:t>
      </w:r>
      <w:r>
        <w:rPr>
          <w:b/>
          <w:color w:val="FF0000"/>
          <w:sz w:val="24"/>
        </w:rPr>
        <w:t>编制依据：</w:t>
      </w:r>
    </w:p>
    <w:p>
      <w:pPr>
        <w:numPr>
          <w:ilvl w:val="0"/>
          <w:numId w:val="3"/>
        </w:numPr>
        <w:spacing w:line="360" w:lineRule="auto"/>
        <w:rPr>
          <w:szCs w:val="21"/>
        </w:rPr>
      </w:pPr>
      <w:r>
        <w:rPr>
          <w:rFonts w:hint="eastAsia"/>
          <w:szCs w:val="21"/>
        </w:rPr>
        <w:t>《建设工程工程量清单计价规范（GB50500－2013）》</w:t>
      </w:r>
    </w:p>
    <w:p>
      <w:pPr>
        <w:numPr>
          <w:ilvl w:val="0"/>
          <w:numId w:val="3"/>
        </w:numPr>
        <w:spacing w:line="360" w:lineRule="auto"/>
        <w:rPr>
          <w:szCs w:val="21"/>
        </w:rPr>
      </w:pPr>
      <w:r>
        <w:rPr>
          <w:rFonts w:hint="eastAsia"/>
          <w:szCs w:val="21"/>
        </w:rPr>
        <w:t>《建设工程工程量计算规范（2013）浙江省补充规定》（浙建站计（2013）63号文件）</w:t>
      </w:r>
    </w:p>
    <w:p>
      <w:pPr>
        <w:numPr>
          <w:ilvl w:val="0"/>
          <w:numId w:val="3"/>
        </w:numPr>
        <w:spacing w:line="360" w:lineRule="auto"/>
        <w:rPr>
          <w:szCs w:val="21"/>
        </w:rPr>
      </w:pPr>
      <w:r>
        <w:rPr>
          <w:rFonts w:hint="eastAsia"/>
          <w:szCs w:val="21"/>
        </w:rPr>
        <w:t>《建设工程工程量计算规范（2013）浙江省补充规定（二）》（浙建站计（2014）31号文件）</w:t>
      </w:r>
    </w:p>
    <w:p>
      <w:pPr>
        <w:numPr>
          <w:ilvl w:val="0"/>
          <w:numId w:val="3"/>
        </w:numPr>
        <w:spacing w:line="360" w:lineRule="auto"/>
        <w:rPr>
          <w:szCs w:val="21"/>
        </w:rPr>
      </w:pPr>
      <w:r>
        <w:rPr>
          <w:rFonts w:hint="eastAsia"/>
          <w:szCs w:val="21"/>
        </w:rPr>
        <w:t>《浙江省建设工程计价规则（2018版）》</w:t>
      </w:r>
    </w:p>
    <w:p>
      <w:pPr>
        <w:numPr>
          <w:ilvl w:val="0"/>
          <w:numId w:val="3"/>
        </w:numPr>
        <w:spacing w:line="360" w:lineRule="auto"/>
        <w:rPr>
          <w:szCs w:val="21"/>
        </w:rPr>
      </w:pPr>
      <w:r>
        <w:rPr>
          <w:rFonts w:hint="eastAsia"/>
          <w:szCs w:val="21"/>
        </w:rPr>
        <w:t>《</w:t>
      </w:r>
      <w:r>
        <w:rPr>
          <w:szCs w:val="21"/>
        </w:rPr>
        <w:t>关于</w:t>
      </w:r>
      <w:r>
        <w:rPr>
          <w:rFonts w:hint="eastAsia"/>
          <w:szCs w:val="21"/>
        </w:rPr>
        <w:t>规范杭州市建设工程工程量清单计价表式的通知》（杭建造价投资办[2010]42号）。</w:t>
      </w:r>
    </w:p>
    <w:p>
      <w:pPr>
        <w:numPr>
          <w:ilvl w:val="0"/>
          <w:numId w:val="3"/>
        </w:numPr>
        <w:spacing w:line="360" w:lineRule="auto"/>
        <w:rPr>
          <w:szCs w:val="21"/>
        </w:rPr>
      </w:pPr>
      <w:r>
        <w:rPr>
          <w:rFonts w:hint="eastAsia"/>
          <w:szCs w:val="21"/>
        </w:rPr>
        <w:t>《关于印发&lt;杭州市建设工程工程量清单计价实施细则（2013修订）&gt;的通知》，（杭建市发 [2014]402号）</w:t>
      </w:r>
    </w:p>
    <w:p>
      <w:pPr>
        <w:numPr>
          <w:ilvl w:val="0"/>
          <w:numId w:val="3"/>
        </w:numPr>
        <w:spacing w:line="360" w:lineRule="auto"/>
        <w:rPr>
          <w:szCs w:val="21"/>
        </w:rPr>
      </w:pPr>
      <w:r>
        <w:rPr>
          <w:rFonts w:hint="eastAsia"/>
          <w:szCs w:val="21"/>
        </w:rPr>
        <w:t>《浙江省仿古建筑工程预算定额2018版》、《浙江省安装工程预算定额2018版》、《浙江省园林绿化工程预算定额2018版》</w:t>
      </w:r>
      <w:r>
        <w:rPr>
          <w:rFonts w:hint="eastAsia"/>
          <w:szCs w:val="21"/>
          <w:lang w:eastAsia="zh-CN"/>
        </w:rPr>
        <w:t>、</w:t>
      </w:r>
      <w:r>
        <w:rPr>
          <w:rFonts w:hint="eastAsia"/>
          <w:szCs w:val="21"/>
        </w:rPr>
        <w:t>《浙江省房屋建筑与装饰工程预算定额2018版》</w:t>
      </w:r>
      <w:r>
        <w:rPr>
          <w:rFonts w:hint="eastAsia"/>
          <w:szCs w:val="21"/>
          <w:lang w:eastAsia="zh-CN"/>
        </w:rPr>
        <w:t>、</w:t>
      </w:r>
      <w:r>
        <w:rPr>
          <w:rFonts w:hint="eastAsia"/>
          <w:szCs w:val="21"/>
        </w:rPr>
        <w:t>《浙江省建设工程施工费用定额2018版》、《浙江省市政工程预算定额2018版》；</w:t>
      </w:r>
    </w:p>
    <w:p>
      <w:pPr>
        <w:numPr>
          <w:ilvl w:val="0"/>
          <w:numId w:val="3"/>
        </w:numPr>
        <w:spacing w:line="360" w:lineRule="auto"/>
        <w:rPr>
          <w:b/>
          <w:color w:val="FF6600"/>
          <w:szCs w:val="21"/>
        </w:rPr>
      </w:pPr>
      <w:r>
        <w:rPr>
          <w:rFonts w:hint="eastAsia"/>
          <w:b/>
          <w:bCs/>
          <w:color w:val="FF6600"/>
          <w:szCs w:val="21"/>
        </w:rPr>
        <w:t>《</w:t>
      </w:r>
      <w:r>
        <w:rPr>
          <w:b/>
          <w:bCs/>
          <w:color w:val="FF6600"/>
          <w:szCs w:val="21"/>
        </w:rPr>
        <w:t>关于建筑业实施营改增后浙江省建设工程计价规则调整的通知</w:t>
      </w:r>
      <w:r>
        <w:rPr>
          <w:rFonts w:hint="eastAsia"/>
          <w:b/>
          <w:bCs/>
          <w:color w:val="FF6600"/>
          <w:szCs w:val="21"/>
        </w:rPr>
        <w:t>》【</w:t>
      </w:r>
      <w:r>
        <w:rPr>
          <w:b/>
          <w:bCs/>
          <w:color w:val="FF6600"/>
          <w:szCs w:val="21"/>
        </w:rPr>
        <w:t>建建发[2016]144号</w:t>
      </w:r>
      <w:r>
        <w:rPr>
          <w:rFonts w:hint="eastAsia"/>
          <w:b/>
          <w:bCs/>
          <w:color w:val="FF6600"/>
          <w:szCs w:val="21"/>
        </w:rPr>
        <w:t>】</w:t>
      </w:r>
    </w:p>
    <w:p>
      <w:pPr>
        <w:numPr>
          <w:ilvl w:val="0"/>
          <w:numId w:val="3"/>
        </w:numPr>
        <w:spacing w:line="360" w:lineRule="auto"/>
        <w:rPr>
          <w:b/>
          <w:color w:val="FF6600"/>
          <w:szCs w:val="21"/>
        </w:rPr>
      </w:pPr>
      <w:r>
        <w:rPr>
          <w:b/>
          <w:color w:val="FF6600"/>
          <w:szCs w:val="21"/>
        </w:rPr>
        <w:t>《关于调整浙江省建设工程造价税金费率的通知》</w:t>
      </w:r>
      <w:r>
        <w:rPr>
          <w:rFonts w:hint="eastAsia"/>
          <w:b/>
          <w:color w:val="FF6600"/>
          <w:szCs w:val="21"/>
        </w:rPr>
        <w:t>【</w:t>
      </w:r>
      <w:r>
        <w:rPr>
          <w:b/>
          <w:bCs/>
          <w:color w:val="FF6600"/>
          <w:szCs w:val="21"/>
        </w:rPr>
        <w:t>杭建造价投资办[2016]28号</w:t>
      </w:r>
      <w:r>
        <w:rPr>
          <w:rFonts w:hint="eastAsia"/>
          <w:b/>
          <w:bCs/>
          <w:color w:val="FF6600"/>
          <w:szCs w:val="21"/>
        </w:rPr>
        <w:t>】</w:t>
      </w:r>
    </w:p>
    <w:p>
      <w:pPr>
        <w:numPr>
          <w:ilvl w:val="0"/>
          <w:numId w:val="3"/>
        </w:numPr>
        <w:spacing w:line="360" w:lineRule="auto"/>
        <w:rPr>
          <w:b/>
          <w:color w:val="FF6600"/>
          <w:szCs w:val="21"/>
        </w:rPr>
      </w:pPr>
      <w:r>
        <w:rPr>
          <w:b/>
          <w:bCs/>
          <w:color w:val="FF6600"/>
          <w:szCs w:val="21"/>
        </w:rPr>
        <w:t>《关于发布营改增后浙江省建设工程施工取费费率的通知》</w:t>
      </w:r>
      <w:r>
        <w:rPr>
          <w:rFonts w:hint="eastAsia"/>
          <w:b/>
          <w:bCs/>
          <w:color w:val="FF6600"/>
          <w:szCs w:val="21"/>
        </w:rPr>
        <w:t>【</w:t>
      </w:r>
      <w:r>
        <w:rPr>
          <w:b/>
          <w:color w:val="FF6600"/>
          <w:szCs w:val="21"/>
        </w:rPr>
        <w:t>杭建造价投资办[2016]23号</w:t>
      </w:r>
      <w:r>
        <w:rPr>
          <w:rFonts w:hint="eastAsia"/>
          <w:b/>
          <w:color w:val="FF6600"/>
          <w:szCs w:val="21"/>
        </w:rPr>
        <w:t>】</w:t>
      </w:r>
    </w:p>
    <w:p>
      <w:pPr>
        <w:numPr>
          <w:ilvl w:val="0"/>
          <w:numId w:val="3"/>
        </w:numPr>
        <w:spacing w:line="360" w:lineRule="auto"/>
        <w:rPr>
          <w:b/>
          <w:bCs/>
          <w:color w:val="FF6600"/>
          <w:szCs w:val="21"/>
        </w:rPr>
      </w:pPr>
      <w:r>
        <w:rPr>
          <w:rFonts w:hint="eastAsia"/>
          <w:b/>
          <w:bCs/>
          <w:color w:val="FF6600"/>
          <w:szCs w:val="21"/>
        </w:rPr>
        <w:t>《</w:t>
      </w:r>
      <w:r>
        <w:rPr>
          <w:b/>
          <w:color w:val="FF6600"/>
          <w:szCs w:val="21"/>
        </w:rPr>
        <w:t>关于发布营改增后浙江省建设工程施工取费费率的通知</w:t>
      </w:r>
      <w:r>
        <w:rPr>
          <w:rFonts w:hint="eastAsia"/>
          <w:b/>
          <w:color w:val="FF6600"/>
          <w:szCs w:val="21"/>
        </w:rPr>
        <w:t>》【</w:t>
      </w:r>
      <w:r>
        <w:rPr>
          <w:b/>
          <w:bCs/>
          <w:color w:val="FF6600"/>
          <w:szCs w:val="21"/>
        </w:rPr>
        <w:t>浙建站定[2016]23号</w:t>
      </w:r>
      <w:r>
        <w:rPr>
          <w:rFonts w:hint="eastAsia"/>
          <w:b/>
          <w:bCs/>
          <w:color w:val="FF6600"/>
          <w:szCs w:val="21"/>
        </w:rPr>
        <w:t>】</w:t>
      </w:r>
    </w:p>
    <w:p>
      <w:pPr>
        <w:numPr>
          <w:ilvl w:val="0"/>
          <w:numId w:val="3"/>
        </w:numPr>
        <w:spacing w:line="360" w:lineRule="auto"/>
        <w:rPr>
          <w:b/>
          <w:color w:val="FF6600"/>
          <w:szCs w:val="21"/>
        </w:rPr>
      </w:pPr>
      <w:r>
        <w:rPr>
          <w:rFonts w:hint="eastAsia"/>
          <w:b/>
          <w:bCs/>
          <w:color w:val="FF6600"/>
          <w:szCs w:val="21"/>
        </w:rPr>
        <w:t>《</w:t>
      </w:r>
      <w:r>
        <w:rPr>
          <w:b/>
          <w:bCs/>
          <w:color w:val="FF6600"/>
          <w:szCs w:val="21"/>
        </w:rPr>
        <w:t>关于进一步加强杭州市建设工程安全文明施工费计取管理规定的通知</w:t>
      </w:r>
      <w:r>
        <w:rPr>
          <w:rFonts w:hint="eastAsia"/>
          <w:b/>
          <w:bCs/>
          <w:color w:val="FF6600"/>
          <w:szCs w:val="21"/>
        </w:rPr>
        <w:t>》【</w:t>
      </w:r>
      <w:r>
        <w:rPr>
          <w:b/>
          <w:color w:val="FF6600"/>
          <w:szCs w:val="21"/>
        </w:rPr>
        <w:t>杭建市[2016]25号</w:t>
      </w:r>
      <w:r>
        <w:rPr>
          <w:rFonts w:hint="eastAsia"/>
          <w:b/>
          <w:color w:val="FF6600"/>
          <w:szCs w:val="21"/>
        </w:rPr>
        <w:t>】</w:t>
      </w:r>
    </w:p>
    <w:p>
      <w:pPr>
        <w:numPr>
          <w:ilvl w:val="0"/>
          <w:numId w:val="3"/>
        </w:numPr>
        <w:spacing w:line="360" w:lineRule="auto"/>
        <w:rPr>
          <w:b/>
          <w:color w:val="FF6600"/>
          <w:szCs w:val="21"/>
        </w:rPr>
      </w:pPr>
      <w:r>
        <w:rPr>
          <w:rFonts w:hint="eastAsia"/>
          <w:b/>
          <w:color w:val="FF6600"/>
          <w:szCs w:val="21"/>
        </w:rPr>
        <w:t>《关于规范建设工程安全文明施工费计取的通知》【建建发[2015]517号】</w:t>
      </w:r>
    </w:p>
    <w:p>
      <w:pPr>
        <w:numPr>
          <w:ilvl w:val="0"/>
          <w:numId w:val="3"/>
        </w:numPr>
        <w:spacing w:line="360" w:lineRule="auto"/>
        <w:rPr>
          <w:b/>
          <w:color w:val="FF6600"/>
          <w:szCs w:val="21"/>
        </w:rPr>
      </w:pPr>
      <w:r>
        <w:rPr>
          <w:rFonts w:hint="eastAsia"/>
          <w:b/>
          <w:color w:val="FF6600"/>
          <w:szCs w:val="21"/>
        </w:rPr>
        <w:t>《住房城乡建设部办公厅关于调整建设工程计价依据增值税税率的通知》（建办标 〔2018〕20号）</w:t>
      </w:r>
    </w:p>
    <w:p>
      <w:pPr>
        <w:numPr>
          <w:ilvl w:val="0"/>
          <w:numId w:val="3"/>
        </w:numPr>
        <w:spacing w:line="360" w:lineRule="auto"/>
        <w:rPr>
          <w:szCs w:val="21"/>
        </w:rPr>
      </w:pPr>
      <w:r>
        <w:rPr>
          <w:rFonts w:hint="eastAsia"/>
          <w:szCs w:val="21"/>
        </w:rPr>
        <w:t>建设工程设计文件：施工图。</w:t>
      </w:r>
    </w:p>
    <w:p>
      <w:pPr>
        <w:numPr>
          <w:ilvl w:val="0"/>
          <w:numId w:val="3"/>
        </w:numPr>
        <w:spacing w:line="360" w:lineRule="auto"/>
        <w:rPr>
          <w:szCs w:val="21"/>
        </w:rPr>
      </w:pPr>
      <w:r>
        <w:rPr>
          <w:szCs w:val="21"/>
        </w:rPr>
        <w:t>与建设工程项目有关的标准、规范、技术资料</w:t>
      </w:r>
      <w:r>
        <w:rPr>
          <w:rFonts w:hint="eastAsia"/>
          <w:szCs w:val="21"/>
        </w:rPr>
        <w:t>；</w:t>
      </w:r>
    </w:p>
    <w:p>
      <w:pPr>
        <w:numPr>
          <w:ilvl w:val="0"/>
          <w:numId w:val="3"/>
        </w:numPr>
        <w:spacing w:line="360" w:lineRule="auto"/>
        <w:rPr>
          <w:szCs w:val="21"/>
        </w:rPr>
      </w:pPr>
      <w:r>
        <w:rPr>
          <w:rFonts w:hint="eastAsia"/>
          <w:szCs w:val="21"/>
        </w:rPr>
        <w:t>拟定的招标文件</w:t>
      </w:r>
    </w:p>
    <w:p>
      <w:pPr>
        <w:numPr>
          <w:ilvl w:val="0"/>
          <w:numId w:val="3"/>
        </w:numPr>
        <w:spacing w:line="360" w:lineRule="auto"/>
        <w:rPr>
          <w:szCs w:val="21"/>
        </w:rPr>
      </w:pPr>
      <w:r>
        <w:rPr>
          <w:szCs w:val="21"/>
        </w:rPr>
        <w:t>常规</w:t>
      </w:r>
      <w:r>
        <w:rPr>
          <w:rFonts w:hint="eastAsia"/>
          <w:szCs w:val="21"/>
        </w:rPr>
        <w:t>的</w:t>
      </w:r>
      <w:r>
        <w:rPr>
          <w:szCs w:val="21"/>
        </w:rPr>
        <w:t>施工</w:t>
      </w:r>
      <w:r>
        <w:rPr>
          <w:rFonts w:hint="eastAsia"/>
          <w:szCs w:val="21"/>
        </w:rPr>
        <w:t>组织设计或施工</w:t>
      </w:r>
      <w:r>
        <w:rPr>
          <w:szCs w:val="21"/>
        </w:rPr>
        <w:t>方案</w:t>
      </w:r>
      <w:r>
        <w:rPr>
          <w:rFonts w:hint="eastAsia"/>
          <w:szCs w:val="21"/>
        </w:rPr>
        <w:t>；</w:t>
      </w:r>
    </w:p>
    <w:p>
      <w:pPr>
        <w:numPr>
          <w:ilvl w:val="0"/>
          <w:numId w:val="3"/>
        </w:numPr>
        <w:spacing w:line="360" w:lineRule="auto"/>
        <w:rPr>
          <w:szCs w:val="21"/>
        </w:rPr>
      </w:pPr>
      <w:r>
        <w:rPr>
          <w:rFonts w:hint="eastAsia"/>
          <w:szCs w:val="21"/>
        </w:rPr>
        <w:t>信息价采用《杭州造价信息价（202</w:t>
      </w:r>
      <w:r>
        <w:rPr>
          <w:rFonts w:hint="eastAsia"/>
          <w:szCs w:val="21"/>
          <w:lang w:val="en-US" w:eastAsia="zh-CN"/>
        </w:rPr>
        <w:t>5.1</w:t>
      </w:r>
      <w:r>
        <w:rPr>
          <w:rFonts w:hint="eastAsia"/>
          <w:szCs w:val="21"/>
        </w:rPr>
        <w:t>）》桐庐地区信息价，《浙江造价信息价（202</w:t>
      </w:r>
      <w:r>
        <w:rPr>
          <w:rFonts w:hint="eastAsia"/>
          <w:szCs w:val="21"/>
          <w:lang w:val="en-US" w:eastAsia="zh-CN"/>
        </w:rPr>
        <w:t>5</w:t>
      </w:r>
      <w:r>
        <w:rPr>
          <w:rFonts w:hint="eastAsia"/>
          <w:szCs w:val="21"/>
        </w:rPr>
        <w:t>.</w:t>
      </w:r>
      <w:r>
        <w:rPr>
          <w:rFonts w:hint="eastAsia"/>
          <w:szCs w:val="21"/>
          <w:lang w:val="en-US" w:eastAsia="zh-CN"/>
        </w:rPr>
        <w:t>1</w:t>
      </w:r>
      <w:r>
        <w:rPr>
          <w:rFonts w:hint="eastAsia"/>
          <w:szCs w:val="21"/>
        </w:rPr>
        <w:t>》桐庐地区无信息价的参照杭州地区信息价；</w:t>
      </w:r>
    </w:p>
    <w:p>
      <w:pPr>
        <w:numPr>
          <w:ilvl w:val="0"/>
          <w:numId w:val="3"/>
        </w:numPr>
        <w:spacing w:line="360" w:lineRule="auto"/>
        <w:rPr>
          <w:szCs w:val="21"/>
        </w:rPr>
      </w:pPr>
      <w:r>
        <w:rPr>
          <w:rFonts w:hint="eastAsia"/>
          <w:szCs w:val="21"/>
        </w:rPr>
        <w:t>其他相关资料：</w:t>
      </w:r>
    </w:p>
    <w:p>
      <w:pPr>
        <w:numPr>
          <w:ilvl w:val="0"/>
          <w:numId w:val="1"/>
        </w:numPr>
        <w:spacing w:line="360" w:lineRule="auto"/>
        <w:rPr>
          <w:sz w:val="24"/>
        </w:rPr>
      </w:pPr>
      <w:r>
        <w:rPr>
          <w:rFonts w:hint="eastAsia"/>
          <w:b/>
          <w:color w:val="FF0000"/>
          <w:sz w:val="24"/>
        </w:rPr>
        <w:t>工程质量、工期、材料、施工等要求：</w:t>
      </w:r>
      <w:r>
        <w:rPr>
          <w:rFonts w:hint="eastAsia"/>
          <w:sz w:val="24"/>
        </w:rPr>
        <w:t>按招标文件。</w:t>
      </w:r>
    </w:p>
    <w:p>
      <w:pPr>
        <w:numPr>
          <w:ilvl w:val="0"/>
          <w:numId w:val="1"/>
        </w:numPr>
        <w:spacing w:line="360" w:lineRule="auto"/>
        <w:rPr>
          <w:sz w:val="24"/>
        </w:rPr>
      </w:pPr>
      <w:r>
        <w:rPr>
          <w:rFonts w:hint="eastAsia"/>
          <w:b/>
          <w:color w:val="FF0000"/>
          <w:sz w:val="24"/>
        </w:rPr>
        <w:t>取费说明：</w:t>
      </w:r>
    </w:p>
    <w:p>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zh-CN"/>
        </w:rPr>
        <w:t>安全文明施工费：</w:t>
      </w:r>
      <w:r>
        <w:rPr>
          <w:rFonts w:hint="eastAsia"/>
          <w:b/>
          <w:bCs/>
          <w:szCs w:val="21"/>
          <w:lang w:val="en-US" w:eastAsia="zh-CN"/>
        </w:rPr>
        <w:t>市政工程：9.79%；园林景观工程：5.16%；市政安装：7.19%</w:t>
      </w:r>
    </w:p>
    <w:p>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zh-CN"/>
        </w:rPr>
        <w:t>企业管理费（</w:t>
      </w:r>
      <w:r>
        <w:rPr>
          <w:rFonts w:hint="eastAsia"/>
          <w:b/>
          <w:bCs/>
          <w:szCs w:val="21"/>
        </w:rPr>
        <w:t>含安责险</w:t>
      </w:r>
      <w:r>
        <w:rPr>
          <w:rFonts w:hint="eastAsia"/>
          <w:b/>
          <w:bCs/>
          <w:szCs w:val="21"/>
          <w:lang w:val="en-US" w:eastAsia="zh-CN"/>
        </w:rPr>
        <w:t>费用</w:t>
      </w:r>
      <w:r>
        <w:rPr>
          <w:rFonts w:hint="eastAsia"/>
          <w:b/>
          <w:bCs/>
          <w:szCs w:val="21"/>
          <w:lang w:val="zh-CN"/>
        </w:rPr>
        <w:t>）：</w:t>
      </w:r>
      <w:r>
        <w:rPr>
          <w:rFonts w:hint="eastAsia"/>
          <w:b/>
          <w:bCs/>
          <w:szCs w:val="21"/>
          <w:lang w:val="en-US" w:eastAsia="zh-CN"/>
        </w:rPr>
        <w:t>市政工程：17.37%；园林景观工程：18.22%；市政安装：17.11%</w:t>
      </w:r>
    </w:p>
    <w:p>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en-US" w:eastAsia="zh-CN"/>
        </w:rPr>
        <w:t>规费：市政工程：18.75%；园林景观工程：30.61%；市政安装：27.8%</w:t>
      </w:r>
    </w:p>
    <w:p>
      <w:pPr>
        <w:numPr>
          <w:ilvl w:val="0"/>
          <w:numId w:val="0"/>
        </w:numPr>
        <w:spacing w:line="360" w:lineRule="auto"/>
        <w:ind w:firstLine="843" w:firstLineChars="400"/>
        <w:rPr>
          <w:b/>
          <w:bCs/>
          <w:szCs w:val="21"/>
        </w:rPr>
      </w:pPr>
      <w:r>
        <w:rPr>
          <w:rFonts w:hint="eastAsia"/>
          <w:b/>
          <w:bCs/>
          <w:szCs w:val="21"/>
          <w:lang w:val="en-US" w:eastAsia="zh-CN"/>
        </w:rPr>
        <w:t>4、</w:t>
      </w:r>
      <w:r>
        <w:rPr>
          <w:rFonts w:hint="eastAsia"/>
          <w:b/>
          <w:bCs/>
          <w:szCs w:val="21"/>
        </w:rPr>
        <w:t>本工程税金：9%</w:t>
      </w:r>
    </w:p>
    <w:p>
      <w:pPr>
        <w:numPr>
          <w:ilvl w:val="0"/>
          <w:numId w:val="0"/>
        </w:numPr>
        <w:spacing w:line="360" w:lineRule="auto"/>
        <w:ind w:firstLine="843" w:firstLineChars="400"/>
        <w:rPr>
          <w:b/>
          <w:bCs/>
          <w:szCs w:val="21"/>
        </w:rPr>
      </w:pPr>
      <w:r>
        <w:rPr>
          <w:rFonts w:hint="eastAsia"/>
          <w:b/>
          <w:bCs/>
          <w:szCs w:val="21"/>
          <w:lang w:val="en-US" w:eastAsia="zh-CN"/>
        </w:rPr>
        <w:t>5、</w:t>
      </w:r>
      <w:r>
        <w:rPr>
          <w:rFonts w:hint="eastAsia"/>
          <w:b/>
          <w:bCs/>
          <w:szCs w:val="21"/>
        </w:rPr>
        <w:t>安责险已按规定计入管理费</w:t>
      </w:r>
    </w:p>
    <w:p>
      <w:pPr>
        <w:numPr>
          <w:ilvl w:val="0"/>
          <w:numId w:val="0"/>
        </w:numPr>
        <w:spacing w:line="360" w:lineRule="auto"/>
        <w:ind w:firstLine="843" w:firstLineChars="400"/>
        <w:rPr>
          <w:bCs/>
          <w:szCs w:val="21"/>
        </w:rPr>
      </w:pPr>
      <w:r>
        <w:rPr>
          <w:rFonts w:hint="eastAsia"/>
          <w:b/>
          <w:bCs/>
          <w:color w:val="FF0000"/>
          <w:szCs w:val="21"/>
          <w:lang w:val="en-US" w:eastAsia="zh-CN"/>
        </w:rPr>
        <w:t>6、</w:t>
      </w:r>
      <w:r>
        <w:rPr>
          <w:rFonts w:hint="eastAsia"/>
          <w:b/>
          <w:bCs/>
          <w:color w:val="FF0000"/>
          <w:szCs w:val="21"/>
        </w:rPr>
        <w:t>安全文明施工基本费按照《浙江省建设工程计价规则（2018版）》的费率乘以1.15系数。</w:t>
      </w:r>
    </w:p>
    <w:p>
      <w:pPr>
        <w:spacing w:line="360" w:lineRule="auto"/>
        <w:rPr>
          <w:bCs/>
          <w:szCs w:val="21"/>
        </w:rPr>
      </w:pPr>
    </w:p>
    <w:p>
      <w:pPr>
        <w:spacing w:line="360" w:lineRule="auto"/>
        <w:rPr>
          <w:rFonts w:hint="eastAsia" w:cstheme="minorBidi"/>
          <w:b/>
          <w:color w:val="FF0000"/>
          <w:kern w:val="2"/>
          <w:sz w:val="24"/>
          <w:szCs w:val="24"/>
        </w:rPr>
      </w:pPr>
      <w:r>
        <w:rPr>
          <w:rFonts w:hint="eastAsia" w:cstheme="minorBidi"/>
          <w:b/>
          <w:color w:val="FF0000"/>
          <w:kern w:val="2"/>
          <w:sz w:val="24"/>
          <w:szCs w:val="24"/>
        </w:rPr>
        <w:t>六、暂列金：无</w:t>
      </w:r>
    </w:p>
    <w:p>
      <w:pPr>
        <w:spacing w:line="360" w:lineRule="auto"/>
        <w:rPr>
          <w:rFonts w:hint="eastAsia" w:cstheme="minorBidi"/>
          <w:b/>
          <w:color w:val="FF0000"/>
          <w:kern w:val="2"/>
          <w:sz w:val="24"/>
          <w:szCs w:val="24"/>
        </w:rPr>
      </w:pPr>
      <w:r>
        <w:rPr>
          <w:rFonts w:hint="eastAsia" w:cstheme="minorBidi"/>
          <w:b/>
          <w:color w:val="FF0000"/>
          <w:kern w:val="2"/>
          <w:sz w:val="24"/>
          <w:szCs w:val="24"/>
        </w:rPr>
        <w:t>七、报价补充说明：</w:t>
      </w:r>
    </w:p>
    <w:p>
      <w:pPr>
        <w:spacing w:line="360" w:lineRule="auto"/>
        <w:rPr>
          <w:rFonts w:hint="eastAsia" w:cstheme="minorBidi"/>
          <w:b w:val="0"/>
          <w:bCs/>
          <w:color w:val="auto"/>
          <w:kern w:val="2"/>
        </w:rPr>
      </w:pPr>
      <w:r>
        <w:rPr>
          <w:rFonts w:hint="eastAsia" w:cstheme="minorBidi"/>
          <w:b w:val="0"/>
          <w:bCs/>
          <w:color w:val="auto"/>
          <w:kern w:val="2"/>
        </w:rPr>
        <w:t>1、分部分项工程量清单中对工程项目的项目特征只作重点描述，详细描述见施工图设计、设计联系单及相应标准图集；综合单价应充分考虑合同、图纸明示和暗示的所有责任、义务和一般风险（除不可抗力及罕见的气候和地质条件）的全部费用；</w:t>
      </w:r>
    </w:p>
    <w:p>
      <w:pPr>
        <w:spacing w:line="360" w:lineRule="auto"/>
        <w:rPr>
          <w:rFonts w:hint="eastAsia" w:cstheme="minorBidi"/>
          <w:b w:val="0"/>
          <w:bCs/>
          <w:color w:val="auto"/>
          <w:kern w:val="2"/>
        </w:rPr>
      </w:pPr>
      <w:r>
        <w:rPr>
          <w:rFonts w:hint="eastAsia" w:cstheme="minorBidi"/>
          <w:b w:val="0"/>
          <w:bCs/>
          <w:color w:val="auto"/>
          <w:kern w:val="2"/>
        </w:rPr>
        <w:t>2、在本工程量清单中项目名称和特征中未描述的工程内容，投标人应按照《建设工程工程量清单计价规范》附录中"工程内容"进行报价，否则视作已包含在综合单价中；</w:t>
      </w:r>
    </w:p>
    <w:p>
      <w:pPr>
        <w:spacing w:line="360" w:lineRule="auto"/>
        <w:rPr>
          <w:rFonts w:hint="eastAsia" w:cstheme="minorBidi"/>
          <w:b w:val="0"/>
          <w:bCs/>
          <w:color w:val="auto"/>
          <w:kern w:val="2"/>
        </w:rPr>
      </w:pPr>
      <w:r>
        <w:rPr>
          <w:rFonts w:hint="eastAsia" w:cstheme="minorBidi"/>
          <w:b w:val="0"/>
          <w:bCs/>
          <w:color w:val="auto"/>
          <w:kern w:val="2"/>
        </w:rPr>
        <w:t>3、招标人未限定品牌的材料投标人必须按中高档材料考虑；在施工过程中，必须经建设单位及监理单位确认后方可使用；</w:t>
      </w:r>
    </w:p>
    <w:p>
      <w:pPr>
        <w:spacing w:line="360" w:lineRule="auto"/>
        <w:rPr>
          <w:rFonts w:hint="eastAsia" w:cstheme="minorBidi"/>
          <w:b w:val="0"/>
          <w:bCs/>
          <w:color w:val="auto"/>
          <w:kern w:val="2"/>
        </w:rPr>
      </w:pPr>
      <w:r>
        <w:rPr>
          <w:rFonts w:hint="eastAsia" w:cstheme="minorBidi"/>
          <w:b w:val="0"/>
          <w:bCs/>
          <w:color w:val="auto"/>
          <w:kern w:val="2"/>
        </w:rPr>
        <w:t>4、请投标人在投标报价时自行踏勘现场，充分考虑本工程所存在的各种风险因数，充分了解现场材料堆放、材料二次搬运、交通以及与其他施工单位的配合等所需费用，并考虑在措施项目费或相关子目综合单价内，中标后不予调整；</w:t>
      </w:r>
    </w:p>
    <w:p>
      <w:pPr>
        <w:spacing w:line="360" w:lineRule="auto"/>
        <w:rPr>
          <w:rFonts w:hint="eastAsia" w:cstheme="minorBidi"/>
          <w:b w:val="0"/>
          <w:bCs/>
          <w:color w:val="auto"/>
          <w:kern w:val="2"/>
        </w:rPr>
      </w:pPr>
      <w:r>
        <w:rPr>
          <w:rFonts w:hint="eastAsia" w:cstheme="minorBidi"/>
          <w:b w:val="0"/>
          <w:bCs/>
          <w:color w:val="auto"/>
          <w:kern w:val="2"/>
        </w:rPr>
        <w:t>5、工程检测、材料试验费含常规、非常规实验等费用，要通过质检站以及其他相关部门验收所必须检测的全部检验费用，所需费用计入相关子目或措施项目费用内，结算时不再增加任何费用；</w:t>
      </w:r>
    </w:p>
    <w:p>
      <w:pPr>
        <w:spacing w:line="360" w:lineRule="auto"/>
        <w:rPr>
          <w:rFonts w:hint="eastAsia" w:cstheme="minorBidi"/>
          <w:b w:val="0"/>
          <w:bCs/>
          <w:color w:val="auto"/>
          <w:kern w:val="2"/>
        </w:rPr>
      </w:pPr>
      <w:r>
        <w:rPr>
          <w:rFonts w:hint="eastAsia" w:cstheme="minorBidi"/>
          <w:b w:val="0"/>
          <w:bCs/>
          <w:color w:val="auto"/>
          <w:kern w:val="2"/>
        </w:rPr>
        <w:t>6、各报价（综合单价）须同时满足项目特征、图纸、图集、强制规范、技术标准等内容；</w:t>
      </w:r>
    </w:p>
    <w:p>
      <w:pPr>
        <w:spacing w:line="360" w:lineRule="auto"/>
        <w:rPr>
          <w:rFonts w:hint="eastAsia" w:cstheme="minorBidi"/>
          <w:b w:val="0"/>
          <w:bCs/>
          <w:color w:val="auto"/>
          <w:kern w:val="2"/>
        </w:rPr>
      </w:pPr>
      <w:r>
        <w:rPr>
          <w:rFonts w:hint="eastAsia" w:cstheme="minorBidi"/>
          <w:b w:val="0"/>
          <w:bCs/>
          <w:color w:val="auto"/>
          <w:kern w:val="2"/>
        </w:rPr>
        <w:t>7、非设计或招标人造成的施工方案调整，费用不调整：</w:t>
      </w:r>
    </w:p>
    <w:p>
      <w:pPr>
        <w:spacing w:line="360" w:lineRule="auto"/>
        <w:rPr>
          <w:rFonts w:hint="eastAsia" w:cstheme="minorBidi"/>
          <w:b w:val="0"/>
          <w:bCs/>
          <w:color w:val="auto"/>
          <w:kern w:val="2"/>
        </w:rPr>
      </w:pPr>
      <w:r>
        <w:rPr>
          <w:rFonts w:hint="eastAsia" w:cstheme="minorBidi"/>
          <w:b w:val="0"/>
          <w:bCs/>
          <w:color w:val="auto"/>
          <w:kern w:val="2"/>
        </w:rPr>
        <w:t>8、投标人对工程量清单有任何疑问，应于招标文件规定的疑问提交截止日前提出，否则视为投标人认可该工程量清单已包括了招标范围内的全部内容；</w:t>
      </w:r>
    </w:p>
    <w:p>
      <w:pPr>
        <w:spacing w:line="360" w:lineRule="auto"/>
        <w:rPr>
          <w:rFonts w:hint="eastAsia" w:cstheme="minorBidi"/>
          <w:b w:val="0"/>
          <w:bCs/>
          <w:color w:val="auto"/>
          <w:kern w:val="2"/>
        </w:rPr>
      </w:pPr>
      <w:r>
        <w:rPr>
          <w:rFonts w:hint="eastAsia" w:cstheme="minorBidi"/>
          <w:b w:val="0"/>
          <w:bCs/>
          <w:color w:val="auto"/>
          <w:kern w:val="2"/>
        </w:rPr>
        <w:t>9、本工程量清单中所列项目的工程量以实体工程编制，并以完成后的净值计算，投标人投标报价时，应在单价中考虑施工中的各种损耗和需要增加的工程量，招标人不为损耗额外支付；</w:t>
      </w:r>
    </w:p>
    <w:p>
      <w:pPr>
        <w:spacing w:line="360" w:lineRule="auto"/>
        <w:rPr>
          <w:rFonts w:hint="eastAsia" w:cstheme="minorBidi"/>
          <w:b w:val="0"/>
          <w:bCs/>
          <w:color w:val="auto"/>
          <w:kern w:val="2"/>
        </w:rPr>
      </w:pPr>
      <w:r>
        <w:rPr>
          <w:rFonts w:hint="eastAsia" w:cstheme="minorBidi"/>
          <w:b w:val="0"/>
          <w:bCs/>
          <w:color w:val="auto"/>
          <w:kern w:val="2"/>
        </w:rPr>
        <w:t>10、本工程量预算中分部分项工程量及措施项目工程量均是根据施工图，按照《通用安装工程工程量计算规范》进行计算的，仅作为施工企业投标报价的共同基础，不能作为最终结算与支付价款的依据，工程量的变化调整以业主与承包商签字的合同约定为准。</w:t>
      </w:r>
    </w:p>
    <w:p>
      <w:pPr>
        <w:numPr>
          <w:ilvl w:val="0"/>
          <w:numId w:val="0"/>
        </w:numPr>
        <w:spacing w:line="360" w:lineRule="auto"/>
        <w:rPr>
          <w:rFonts w:hint="eastAsia"/>
          <w:b/>
          <w:color w:val="FF0000"/>
          <w:sz w:val="24"/>
          <w:lang w:val="en-US" w:eastAsia="zh-CN"/>
        </w:rPr>
      </w:pPr>
      <w:r>
        <w:rPr>
          <w:rFonts w:hint="eastAsia"/>
          <w:b/>
          <w:color w:val="FF0000"/>
          <w:sz w:val="24"/>
          <w:lang w:val="en-US" w:eastAsia="zh-CN"/>
        </w:rPr>
        <w:t>八、其他说明</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一、云水公寓</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（1）市政工程</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1.新老沥青路面衔接处理暂按150m计入，工程量按实调整；</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（2）市政安装工程</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1.路灯控制箱进线电缆及保护管就近变压器引入，暂按(YJV-4*10-PE50)300m计入预算，结算按实调整；</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2.路灯过马路保护管暂按180m镀锌钢管SC80计入预算，结算按实调整；</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3.弱电机柜（监控室）按利旧考虑，监控室至按方向进线暂按300m计入预算，结算按实调整；</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4.停车场管理系统，包含道闸、车牌识别一体机、遥控器、电源、地磁检测器（单向）、地感线圈、管理软件、服务器、电脑等暂按50000元计入预算，结算按实签证调整；</w:t>
      </w:r>
    </w:p>
    <w:p>
      <w:pPr>
        <w:numPr>
          <w:ilvl w:val="0"/>
          <w:numId w:val="0"/>
        </w:numPr>
        <w:spacing w:line="360" w:lineRule="auto"/>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5.充电设施、管线等不在本次招标范围</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6.招标材料、主材参考价（除税价，该价格作为编制招标控制价的参考依据，投标单位在投标报价时自主报价，但实际施工中不得采用低于控制价中规定的价格档次，且施工前需提供样品经建设单位、监理单位及设计单位认可后方可施工）</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4米庭院灯,50W,LED灯------------------------------2280元/套</w:t>
      </w:r>
    </w:p>
    <w:p>
      <w:pPr>
        <w:numPr>
          <w:ilvl w:val="0"/>
          <w:numId w:val="0"/>
        </w:numPr>
        <w:spacing w:line="360" w:lineRule="auto"/>
        <w:rPr>
          <w:rFonts w:hint="default" w:ascii="宋体" w:hAnsi="宋体" w:eastAsia="宋体" w:cs="宋体"/>
          <w:b w:val="0"/>
          <w:bCs/>
          <w:color w:val="auto"/>
          <w:sz w:val="21"/>
          <w:szCs w:val="21"/>
          <w:lang w:val="en-US" w:eastAsia="zh-CN"/>
        </w:rPr>
      </w:pPr>
    </w:p>
    <w:p>
      <w:pPr>
        <w:numPr>
          <w:ilvl w:val="0"/>
          <w:numId w:val="5"/>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文辉商住楼</w:t>
      </w:r>
    </w:p>
    <w:p>
      <w:pPr>
        <w:numPr>
          <w:ilvl w:val="0"/>
          <w:numId w:val="6"/>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市政工程</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1.围墙按图纸平面图长度计入，工程量按实结算；</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2.新老沥青路面衔接处理暂按125m计入，工程量按实调整；</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3.原有路面拆除暂按新建路面面积545m2计入，拆除路面结构暂按新建路面结构计入；</w:t>
      </w:r>
    </w:p>
    <w:p>
      <w:pPr>
        <w:numPr>
          <w:ilvl w:val="0"/>
          <w:numId w:val="0"/>
        </w:numPr>
        <w:spacing w:line="360" w:lineRule="auto"/>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4.充电设施</w:t>
      </w:r>
      <w:bookmarkStart w:id="0" w:name="_GoBack"/>
      <w:bookmarkEnd w:id="0"/>
      <w:r>
        <w:rPr>
          <w:rFonts w:hint="eastAsia" w:ascii="宋体" w:hAnsi="宋体" w:eastAsia="宋体" w:cs="宋体"/>
          <w:b w:val="0"/>
          <w:bCs/>
          <w:color w:val="auto"/>
          <w:sz w:val="21"/>
          <w:szCs w:val="21"/>
          <w:lang w:val="en-US" w:eastAsia="zh-CN"/>
        </w:rPr>
        <w:t>、管线、道闸等不在本次招标范围</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（2）安装工程</w:t>
      </w:r>
    </w:p>
    <w:p>
      <w:pPr>
        <w:numPr>
          <w:ilvl w:val="0"/>
          <w:numId w:val="0"/>
        </w:numPr>
        <w:spacing w:line="360" w:lineRule="auto"/>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1.个别破损路灯修复采用75WLED光源暂按5套计入预算，结算按实调整；</w:t>
      </w:r>
    </w:p>
    <w:p>
      <w:pPr>
        <w:numPr>
          <w:ilvl w:val="0"/>
          <w:numId w:val="0"/>
        </w:numPr>
        <w:spacing w:line="360" w:lineRule="auto"/>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2.路灯控制箱电源进线电缆、保护管暂按50米计入预算，过马路保护管暂按50m镀锌钢管SC100计入预算，结算按实调整；</w:t>
      </w:r>
    </w:p>
    <w:p>
      <w:pPr>
        <w:numPr>
          <w:ilvl w:val="0"/>
          <w:numId w:val="0"/>
        </w:numPr>
        <w:spacing w:line="360" w:lineRule="auto"/>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3.招标材料、主材参考价（除税价，该价格作为编制招标控制价的参考依据，投标单位在投标报价时自主报价，但实际施工中不得采用低于控制价中规定的价格档次，且施工前需提供样品经建设单位、监理单位及设计单位认可后方可施工）</w:t>
      </w:r>
    </w:p>
    <w:p>
      <w:pPr>
        <w:numPr>
          <w:ilvl w:val="0"/>
          <w:numId w:val="0"/>
        </w:numPr>
        <w:spacing w:line="360" w:lineRule="auto"/>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4米庭院灯,50W,LED灯------------------------------2280元/套</w:t>
      </w: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340BDF"/>
    <w:multiLevelType w:val="singleLevel"/>
    <w:tmpl w:val="B3340BDF"/>
    <w:lvl w:ilvl="0" w:tentative="0">
      <w:start w:val="1"/>
      <w:numFmt w:val="decimal"/>
      <w:suff w:val="nothing"/>
      <w:lvlText w:val="（%1）"/>
      <w:lvlJc w:val="left"/>
    </w:lvl>
  </w:abstractNum>
  <w:abstractNum w:abstractNumId="1">
    <w:nsid w:val="D073232E"/>
    <w:multiLevelType w:val="singleLevel"/>
    <w:tmpl w:val="D073232E"/>
    <w:lvl w:ilvl="0" w:tentative="0">
      <w:start w:val="1"/>
      <w:numFmt w:val="decimal"/>
      <w:suff w:val="nothing"/>
      <w:lvlText w:val="%1、"/>
      <w:lvlJc w:val="left"/>
      <w:pPr>
        <w:ind w:left="840" w:leftChars="0" w:firstLine="0" w:firstLineChars="0"/>
      </w:pPr>
    </w:lvl>
  </w:abstractNum>
  <w:abstractNum w:abstractNumId="2">
    <w:nsid w:val="EA80BD6B"/>
    <w:multiLevelType w:val="singleLevel"/>
    <w:tmpl w:val="EA80BD6B"/>
    <w:lvl w:ilvl="0" w:tentative="0">
      <w:start w:val="2"/>
      <w:numFmt w:val="chineseCounting"/>
      <w:suff w:val="nothing"/>
      <w:lvlText w:val="%1、"/>
      <w:lvlJc w:val="left"/>
      <w:rPr>
        <w:rFonts w:hint="eastAsia"/>
      </w:rPr>
    </w:lvl>
  </w:abstractNum>
  <w:abstractNum w:abstractNumId="3">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5">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jMjM2NmY0MTI2NWIyOTdjZDIxMmM3M2M2ODQ3NTcifQ=="/>
    <w:docVar w:name="KSO_WPS_MARK_KEY" w:val="7b5c0ee6-67ce-486e-b0e7-a9c9d47639ab"/>
  </w:docVars>
  <w:rsids>
    <w:rsidRoot w:val="49A5704B"/>
    <w:rsid w:val="00064224"/>
    <w:rsid w:val="0013280C"/>
    <w:rsid w:val="001D6FC0"/>
    <w:rsid w:val="00231647"/>
    <w:rsid w:val="00231D7B"/>
    <w:rsid w:val="00257F3F"/>
    <w:rsid w:val="002F767E"/>
    <w:rsid w:val="003A2826"/>
    <w:rsid w:val="003F1433"/>
    <w:rsid w:val="003F4913"/>
    <w:rsid w:val="00403004"/>
    <w:rsid w:val="00430DA6"/>
    <w:rsid w:val="00443B45"/>
    <w:rsid w:val="004E48D8"/>
    <w:rsid w:val="0056244F"/>
    <w:rsid w:val="005B681B"/>
    <w:rsid w:val="005C242A"/>
    <w:rsid w:val="005C7DF4"/>
    <w:rsid w:val="005E285D"/>
    <w:rsid w:val="0061725F"/>
    <w:rsid w:val="00646AEE"/>
    <w:rsid w:val="00655A71"/>
    <w:rsid w:val="006859C4"/>
    <w:rsid w:val="006B2733"/>
    <w:rsid w:val="00707513"/>
    <w:rsid w:val="00881216"/>
    <w:rsid w:val="008C11CF"/>
    <w:rsid w:val="00906B0D"/>
    <w:rsid w:val="009C4B5E"/>
    <w:rsid w:val="009D5B3A"/>
    <w:rsid w:val="00A31C34"/>
    <w:rsid w:val="00A5548A"/>
    <w:rsid w:val="00AB0E13"/>
    <w:rsid w:val="00AE69FF"/>
    <w:rsid w:val="00B40E5E"/>
    <w:rsid w:val="00B9346F"/>
    <w:rsid w:val="00BC4DC1"/>
    <w:rsid w:val="00C0469A"/>
    <w:rsid w:val="00C1076A"/>
    <w:rsid w:val="00C855AB"/>
    <w:rsid w:val="00CD6029"/>
    <w:rsid w:val="00DA4357"/>
    <w:rsid w:val="00E05948"/>
    <w:rsid w:val="00E11A62"/>
    <w:rsid w:val="00E34DE6"/>
    <w:rsid w:val="00E640BF"/>
    <w:rsid w:val="00EF4C66"/>
    <w:rsid w:val="00F21A32"/>
    <w:rsid w:val="00F323B2"/>
    <w:rsid w:val="00F3253B"/>
    <w:rsid w:val="00F364B4"/>
    <w:rsid w:val="025248D5"/>
    <w:rsid w:val="02C336BE"/>
    <w:rsid w:val="0315513B"/>
    <w:rsid w:val="038138CE"/>
    <w:rsid w:val="03EF5A63"/>
    <w:rsid w:val="04656768"/>
    <w:rsid w:val="048414AD"/>
    <w:rsid w:val="04F13460"/>
    <w:rsid w:val="059053A1"/>
    <w:rsid w:val="059648AB"/>
    <w:rsid w:val="05D6796D"/>
    <w:rsid w:val="065B7836"/>
    <w:rsid w:val="07862B0F"/>
    <w:rsid w:val="083A1B1E"/>
    <w:rsid w:val="08B368E7"/>
    <w:rsid w:val="09740F0C"/>
    <w:rsid w:val="09DA4372"/>
    <w:rsid w:val="0A7B1D6C"/>
    <w:rsid w:val="0AAB702E"/>
    <w:rsid w:val="0AE80B89"/>
    <w:rsid w:val="0C4B037C"/>
    <w:rsid w:val="0D8A3F7A"/>
    <w:rsid w:val="0DBB6325"/>
    <w:rsid w:val="0F063885"/>
    <w:rsid w:val="0FE67419"/>
    <w:rsid w:val="10602703"/>
    <w:rsid w:val="10713B78"/>
    <w:rsid w:val="112D78A0"/>
    <w:rsid w:val="11AC7198"/>
    <w:rsid w:val="11D35F86"/>
    <w:rsid w:val="12077BD2"/>
    <w:rsid w:val="12190875"/>
    <w:rsid w:val="12A12A75"/>
    <w:rsid w:val="13754DD2"/>
    <w:rsid w:val="13973CB3"/>
    <w:rsid w:val="13E406BF"/>
    <w:rsid w:val="13F90EB9"/>
    <w:rsid w:val="14841CA0"/>
    <w:rsid w:val="151701AC"/>
    <w:rsid w:val="16896DE9"/>
    <w:rsid w:val="168B79E0"/>
    <w:rsid w:val="183A318C"/>
    <w:rsid w:val="18573C24"/>
    <w:rsid w:val="185860D6"/>
    <w:rsid w:val="185C7EA6"/>
    <w:rsid w:val="18D24565"/>
    <w:rsid w:val="191F6766"/>
    <w:rsid w:val="19776F85"/>
    <w:rsid w:val="19E404C7"/>
    <w:rsid w:val="1AE3148D"/>
    <w:rsid w:val="1B597117"/>
    <w:rsid w:val="1BF0212C"/>
    <w:rsid w:val="1C422BD3"/>
    <w:rsid w:val="1C526040"/>
    <w:rsid w:val="1C5F4069"/>
    <w:rsid w:val="1CE071F6"/>
    <w:rsid w:val="1D2C5B04"/>
    <w:rsid w:val="1D6C726D"/>
    <w:rsid w:val="1D9E6BAA"/>
    <w:rsid w:val="1EF0662A"/>
    <w:rsid w:val="1EF50BD4"/>
    <w:rsid w:val="20003CB0"/>
    <w:rsid w:val="201523AC"/>
    <w:rsid w:val="20E76540"/>
    <w:rsid w:val="212214AD"/>
    <w:rsid w:val="219F260C"/>
    <w:rsid w:val="224633C8"/>
    <w:rsid w:val="22776347"/>
    <w:rsid w:val="22E94E81"/>
    <w:rsid w:val="231A0CEE"/>
    <w:rsid w:val="241E0552"/>
    <w:rsid w:val="24215A25"/>
    <w:rsid w:val="24AB0D38"/>
    <w:rsid w:val="24BA550E"/>
    <w:rsid w:val="25007413"/>
    <w:rsid w:val="255F0AC2"/>
    <w:rsid w:val="25BB1EE5"/>
    <w:rsid w:val="263C1E92"/>
    <w:rsid w:val="27951D56"/>
    <w:rsid w:val="28094A74"/>
    <w:rsid w:val="28AC36A8"/>
    <w:rsid w:val="28D102C4"/>
    <w:rsid w:val="2A001090"/>
    <w:rsid w:val="2BB3100D"/>
    <w:rsid w:val="2BFB328F"/>
    <w:rsid w:val="2D2F7E09"/>
    <w:rsid w:val="2DEF0E30"/>
    <w:rsid w:val="2E177BEC"/>
    <w:rsid w:val="2E8F00BF"/>
    <w:rsid w:val="2EA37665"/>
    <w:rsid w:val="2F1C07CA"/>
    <w:rsid w:val="2F5748E4"/>
    <w:rsid w:val="2F9A5097"/>
    <w:rsid w:val="30322DD0"/>
    <w:rsid w:val="305A0566"/>
    <w:rsid w:val="307915A5"/>
    <w:rsid w:val="30D410B4"/>
    <w:rsid w:val="30E25E6C"/>
    <w:rsid w:val="30FF7B9A"/>
    <w:rsid w:val="313A7EC4"/>
    <w:rsid w:val="316913F7"/>
    <w:rsid w:val="323E4C02"/>
    <w:rsid w:val="325B10B5"/>
    <w:rsid w:val="3302711A"/>
    <w:rsid w:val="335F232B"/>
    <w:rsid w:val="3422271D"/>
    <w:rsid w:val="347D0042"/>
    <w:rsid w:val="35574F96"/>
    <w:rsid w:val="35B428EF"/>
    <w:rsid w:val="3683440E"/>
    <w:rsid w:val="377A1D17"/>
    <w:rsid w:val="37DE77FC"/>
    <w:rsid w:val="388D2FD0"/>
    <w:rsid w:val="3AAD74E0"/>
    <w:rsid w:val="3B403F9C"/>
    <w:rsid w:val="3B5878C5"/>
    <w:rsid w:val="3C2B537C"/>
    <w:rsid w:val="3C982817"/>
    <w:rsid w:val="3E027237"/>
    <w:rsid w:val="3EBC63BD"/>
    <w:rsid w:val="3EF275D8"/>
    <w:rsid w:val="3F2776DB"/>
    <w:rsid w:val="4048774F"/>
    <w:rsid w:val="40EA39A6"/>
    <w:rsid w:val="40F47EEF"/>
    <w:rsid w:val="40FC29E3"/>
    <w:rsid w:val="413F4D32"/>
    <w:rsid w:val="41D21B05"/>
    <w:rsid w:val="41DD0B24"/>
    <w:rsid w:val="421B7FD7"/>
    <w:rsid w:val="42242876"/>
    <w:rsid w:val="42360234"/>
    <w:rsid w:val="42410552"/>
    <w:rsid w:val="43456981"/>
    <w:rsid w:val="43BE609B"/>
    <w:rsid w:val="43C7169F"/>
    <w:rsid w:val="44F94C74"/>
    <w:rsid w:val="4558126C"/>
    <w:rsid w:val="455F5297"/>
    <w:rsid w:val="456E28DC"/>
    <w:rsid w:val="45BA455D"/>
    <w:rsid w:val="469921BA"/>
    <w:rsid w:val="47B86DA2"/>
    <w:rsid w:val="4884375E"/>
    <w:rsid w:val="49A5704B"/>
    <w:rsid w:val="4A205354"/>
    <w:rsid w:val="4A551712"/>
    <w:rsid w:val="4C7123FD"/>
    <w:rsid w:val="4D1B16A0"/>
    <w:rsid w:val="4E0D641F"/>
    <w:rsid w:val="4E1B2A61"/>
    <w:rsid w:val="4E4A7F9C"/>
    <w:rsid w:val="4E876263"/>
    <w:rsid w:val="4F074693"/>
    <w:rsid w:val="4F6151EE"/>
    <w:rsid w:val="4F77749B"/>
    <w:rsid w:val="4FAC11CD"/>
    <w:rsid w:val="4FE808D7"/>
    <w:rsid w:val="4FF150E0"/>
    <w:rsid w:val="4FFA3FF4"/>
    <w:rsid w:val="50D50E85"/>
    <w:rsid w:val="50E27E9E"/>
    <w:rsid w:val="514D6C59"/>
    <w:rsid w:val="51600E2A"/>
    <w:rsid w:val="51855BD5"/>
    <w:rsid w:val="51A93649"/>
    <w:rsid w:val="51AD7807"/>
    <w:rsid w:val="52B76AF4"/>
    <w:rsid w:val="52F60085"/>
    <w:rsid w:val="53344584"/>
    <w:rsid w:val="53C14E8D"/>
    <w:rsid w:val="544D62C7"/>
    <w:rsid w:val="55227071"/>
    <w:rsid w:val="55640D51"/>
    <w:rsid w:val="557D4E9D"/>
    <w:rsid w:val="558627BF"/>
    <w:rsid w:val="55E62D19"/>
    <w:rsid w:val="566C098B"/>
    <w:rsid w:val="566E15C9"/>
    <w:rsid w:val="568A3431"/>
    <w:rsid w:val="56B0015D"/>
    <w:rsid w:val="57783C95"/>
    <w:rsid w:val="57BA11CB"/>
    <w:rsid w:val="57E7576C"/>
    <w:rsid w:val="57FB0114"/>
    <w:rsid w:val="587D16C5"/>
    <w:rsid w:val="58A62050"/>
    <w:rsid w:val="592445B5"/>
    <w:rsid w:val="5A8C1FB5"/>
    <w:rsid w:val="5B181A3C"/>
    <w:rsid w:val="5BA81D4B"/>
    <w:rsid w:val="5BB353FC"/>
    <w:rsid w:val="5D1B1761"/>
    <w:rsid w:val="5D3C1FC9"/>
    <w:rsid w:val="5DEE7976"/>
    <w:rsid w:val="5F6C3022"/>
    <w:rsid w:val="5FEA46D4"/>
    <w:rsid w:val="6042276E"/>
    <w:rsid w:val="60AC2643"/>
    <w:rsid w:val="61516887"/>
    <w:rsid w:val="62711FD0"/>
    <w:rsid w:val="63284A10"/>
    <w:rsid w:val="64DF24B3"/>
    <w:rsid w:val="65186F43"/>
    <w:rsid w:val="653050B5"/>
    <w:rsid w:val="65CE0B65"/>
    <w:rsid w:val="65DA6A1B"/>
    <w:rsid w:val="66705B39"/>
    <w:rsid w:val="66A07915"/>
    <w:rsid w:val="675335C7"/>
    <w:rsid w:val="67AD5553"/>
    <w:rsid w:val="68E532E1"/>
    <w:rsid w:val="6A394BDB"/>
    <w:rsid w:val="6A9445F2"/>
    <w:rsid w:val="6B703B19"/>
    <w:rsid w:val="6BCE2DB0"/>
    <w:rsid w:val="6C843B8D"/>
    <w:rsid w:val="6C875182"/>
    <w:rsid w:val="6D0F625E"/>
    <w:rsid w:val="6D8A5A3E"/>
    <w:rsid w:val="6DD97BB5"/>
    <w:rsid w:val="6E4B4B4B"/>
    <w:rsid w:val="6E9679F1"/>
    <w:rsid w:val="6EFF5CCE"/>
    <w:rsid w:val="6F03131A"/>
    <w:rsid w:val="6F1C67C2"/>
    <w:rsid w:val="6F32462C"/>
    <w:rsid w:val="6FB911DF"/>
    <w:rsid w:val="6FC8558B"/>
    <w:rsid w:val="700578BE"/>
    <w:rsid w:val="708C32D6"/>
    <w:rsid w:val="70C60851"/>
    <w:rsid w:val="70ED65EE"/>
    <w:rsid w:val="70F100DB"/>
    <w:rsid w:val="71FE0F84"/>
    <w:rsid w:val="731133AF"/>
    <w:rsid w:val="732E19E0"/>
    <w:rsid w:val="7333053F"/>
    <w:rsid w:val="747546AA"/>
    <w:rsid w:val="754A4A9B"/>
    <w:rsid w:val="75547528"/>
    <w:rsid w:val="75A730ED"/>
    <w:rsid w:val="769A6374"/>
    <w:rsid w:val="77932E93"/>
    <w:rsid w:val="77B92852"/>
    <w:rsid w:val="77D15B87"/>
    <w:rsid w:val="780027F4"/>
    <w:rsid w:val="78875E75"/>
    <w:rsid w:val="78C6752E"/>
    <w:rsid w:val="796C7869"/>
    <w:rsid w:val="79FF0EFC"/>
    <w:rsid w:val="7BC66AA2"/>
    <w:rsid w:val="7BD71241"/>
    <w:rsid w:val="7BED7F1C"/>
    <w:rsid w:val="7BF7715F"/>
    <w:rsid w:val="7C017C3B"/>
    <w:rsid w:val="7C7D79CF"/>
    <w:rsid w:val="7C8558C0"/>
    <w:rsid w:val="7CB44193"/>
    <w:rsid w:val="7CEB2CA0"/>
    <w:rsid w:val="7D196717"/>
    <w:rsid w:val="7D30239B"/>
    <w:rsid w:val="7EB77A2B"/>
    <w:rsid w:val="7EBF2690"/>
    <w:rsid w:val="7F382D65"/>
    <w:rsid w:val="7F616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page number"/>
    <w:basedOn w:val="6"/>
    <w:qFormat/>
    <w:uiPriority w:val="0"/>
  </w:style>
  <w:style w:type="character" w:styleId="8">
    <w:name w:val="FollowedHyperlink"/>
    <w:basedOn w:val="6"/>
    <w:qFormat/>
    <w:uiPriority w:val="0"/>
    <w:rPr>
      <w:color w:val="0000FF"/>
      <w:u w:val="none"/>
    </w:rPr>
  </w:style>
  <w:style w:type="character" w:styleId="9">
    <w:name w:val="Hyperlink"/>
    <w:basedOn w:val="6"/>
    <w:qFormat/>
    <w:uiPriority w:val="0"/>
    <w:rPr>
      <w:color w:val="0000FF"/>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paragraph" w:customStyle="1" w:styleId="11">
    <w:name w:val="p0"/>
    <w:basedOn w:val="1"/>
    <w:qFormat/>
    <w:uiPriority w:val="0"/>
    <w:pPr>
      <w:widowControl/>
    </w:pPr>
    <w:rPr>
      <w:kern w:val="0"/>
      <w:szCs w:val="21"/>
    </w:rPr>
  </w:style>
  <w:style w:type="paragraph" w:customStyle="1" w:styleId="12">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4</Pages>
  <Words>1811</Words>
  <Characters>1966</Characters>
  <Lines>23</Lines>
  <Paragraphs>6</Paragraphs>
  <TotalTime>2</TotalTime>
  <ScaleCrop>false</ScaleCrop>
  <LinksUpToDate>false</LinksUpToDate>
  <CharactersWithSpaces>1971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2017-12-04T15:03:00Z</dcterms:created>
  <dc:creator>Serenity</dc:creator>
  <cp:lastModifiedBy>余生</cp:lastModifiedBy>
  <cp:lastPrinted>2022-01-04T03:11:00Z</cp:lastPrinted>
  <dcterms:modified xsi:type="dcterms:W3CDTF">2025-03-03T08:37:42Z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C84D64601D4543B8A797C333EBABEE19</vt:lpwstr>
  </property>
  <property fmtid="{D5CDD505-2E9C-101B-9397-08002B2CF9AE}" pid="4" name="KSOTemplateDocerSaveRecord">
    <vt:lpwstr>eyJoZGlkIjoiNThmYjM2MTc2NmZmZWY4NTdhMjRmNzczNTc0NTk5NDciLCJ1c2VySWQiOiI0Mjc0MzA4MzEifQ==</vt:lpwstr>
  </property>
</Properties>
</file>