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67C1CA">
      <w:pPr>
        <w:spacing w:line="360" w:lineRule="auto"/>
        <w:rPr>
          <w:rFonts w:hint="eastAsia"/>
          <w:sz w:val="32"/>
          <w:szCs w:val="32"/>
        </w:rPr>
      </w:pPr>
      <w:r>
        <w:rPr>
          <w:rFonts w:hint="eastAsia"/>
          <w:szCs w:val="21"/>
        </w:rPr>
        <w:t>附件2</w:t>
      </w:r>
      <w:bookmarkStart w:id="2" w:name="_GoBack"/>
      <w:bookmarkEnd w:id="2"/>
    </w:p>
    <w:p w14:paraId="2E6835D7">
      <w:pPr>
        <w:pStyle w:val="48"/>
        <w:widowControl/>
        <w:jc w:val="center"/>
        <w:rPr>
          <w:rFonts w:hint="eastAsia" w:ascii="黑体" w:hAnsi="黑体" w:eastAsia="黑体"/>
          <w:b/>
          <w:bCs/>
          <w:kern w:val="0"/>
          <w:sz w:val="32"/>
          <w:szCs w:val="32"/>
          <w:lang w:val="en-US" w:eastAsia="zh-CN"/>
        </w:rPr>
      </w:pPr>
      <w:r>
        <w:rPr>
          <w:rFonts w:hint="eastAsia" w:ascii="黑体" w:hAnsi="黑体" w:eastAsia="黑体"/>
          <w:b/>
          <w:bCs/>
          <w:kern w:val="0"/>
          <w:sz w:val="32"/>
          <w:szCs w:val="32"/>
          <w:lang w:val="en-US" w:eastAsia="zh-CN"/>
        </w:rPr>
        <w:t>工程量清单总说明</w:t>
      </w:r>
    </w:p>
    <w:p w14:paraId="629BD13E">
      <w:pPr>
        <w:spacing w:line="360" w:lineRule="auto"/>
        <w:jc w:val="center"/>
        <w:outlineLvl w:val="0"/>
        <w:rPr>
          <w:rFonts w:hint="eastAsia" w:ascii="方正小标宋简体" w:eastAsia="方正小标宋简体"/>
          <w:b/>
          <w:color w:val="FF0000"/>
          <w:sz w:val="28"/>
          <w:szCs w:val="28"/>
        </w:rPr>
      </w:pPr>
      <w:r>
        <w:rPr>
          <w:rFonts w:hint="eastAsia" w:ascii="方正小标宋简体" w:eastAsia="方正小标宋简体"/>
          <w:b/>
          <w:color w:val="FF0000"/>
          <w:sz w:val="28"/>
          <w:szCs w:val="28"/>
        </w:rPr>
        <w:t xml:space="preserve"> </w:t>
      </w:r>
    </w:p>
    <w:p w14:paraId="6373FB92">
      <w:pPr>
        <w:numPr>
          <w:ilvl w:val="0"/>
          <w:numId w:val="1"/>
        </w:numPr>
        <w:tabs>
          <w:tab w:val="left" w:pos="1080"/>
          <w:tab w:val="left" w:pos="9180"/>
          <w:tab w:val="left" w:pos="9360"/>
        </w:tabs>
        <w:spacing w:line="360" w:lineRule="auto"/>
        <w:ind w:right="410" w:rightChars="171"/>
        <w:outlineLvl w:val="0"/>
        <w:rPr>
          <w:b/>
        </w:rPr>
      </w:pPr>
      <w:r>
        <w:rPr>
          <w:rFonts w:hint="eastAsia"/>
          <w:b/>
        </w:rPr>
        <w:t>工程概况</w:t>
      </w:r>
    </w:p>
    <w:p w14:paraId="6D7454D2">
      <w:pPr>
        <w:pStyle w:val="48"/>
        <w:widowControl/>
        <w:spacing w:line="500" w:lineRule="exact"/>
        <w:ind w:firstLine="480" w:firstLineChars="200"/>
        <w:rPr>
          <w:rFonts w:hint="default" w:ascii="宋体" w:hAnsi="宋体"/>
          <w:kern w:val="0"/>
          <w:sz w:val="24"/>
          <w:szCs w:val="24"/>
          <w:lang w:val="en-US" w:eastAsia="zh-CN"/>
        </w:rPr>
      </w:pPr>
      <w:r>
        <w:rPr>
          <w:rFonts w:hint="eastAsia" w:ascii="宋体" w:hAnsi="宋体"/>
          <w:kern w:val="0"/>
          <w:sz w:val="24"/>
          <w:szCs w:val="24"/>
        </w:rPr>
        <w:t>1.工程名称：</w:t>
      </w:r>
      <w:bookmarkStart w:id="0" w:name="项目名称8"/>
      <w:r>
        <w:rPr>
          <w:rFonts w:hint="eastAsia" w:ascii="宋体" w:hAnsi="宋体" w:eastAsia="宋体" w:cs="Times New Roman"/>
          <w:kern w:val="0"/>
          <w:sz w:val="24"/>
          <w:szCs w:val="24"/>
        </w:rPr>
        <w:t>桐庐县迎亚运公路路域环境提升改造工程(G320、S208、S305）-S208附属设施提升工程</w:t>
      </w:r>
      <w:r>
        <w:rPr>
          <w:rFonts w:hint="eastAsia" w:ascii="宋体" w:hAnsi="宋体" w:eastAsia="宋体" w:cs="Times New Roman"/>
          <w:kern w:val="0"/>
          <w:sz w:val="24"/>
          <w:szCs w:val="24"/>
          <w:lang w:eastAsia="zh-CN"/>
        </w:rPr>
        <w:t>；</w:t>
      </w:r>
      <w:r>
        <w:rPr>
          <w:rFonts w:hint="eastAsia" w:ascii="宋体" w:hAnsi="宋体" w:eastAsia="宋体" w:cs="Times New Roman"/>
          <w:kern w:val="0"/>
          <w:sz w:val="24"/>
          <w:szCs w:val="24"/>
          <w:lang w:val="en-US" w:eastAsia="zh-CN"/>
        </w:rPr>
        <w:t xml:space="preserve">   </w:t>
      </w:r>
      <w:r>
        <w:rPr>
          <w:rFonts w:hint="eastAsia" w:ascii="宋体" w:hAnsi="宋体"/>
          <w:kern w:val="0"/>
          <w:sz w:val="24"/>
          <w:szCs w:val="24"/>
          <w:lang w:val="en-US" w:eastAsia="zh-CN"/>
        </w:rPr>
        <w:t xml:space="preserve">                                            </w:t>
      </w:r>
      <w:bookmarkEnd w:id="0"/>
    </w:p>
    <w:p w14:paraId="720D4F13">
      <w:pPr>
        <w:pStyle w:val="48"/>
        <w:widowControl/>
        <w:spacing w:line="500" w:lineRule="exact"/>
        <w:ind w:firstLine="480" w:firstLineChars="200"/>
        <w:rPr>
          <w:rFonts w:hint="default" w:ascii="宋体" w:hAnsi="宋体"/>
          <w:kern w:val="0"/>
          <w:sz w:val="24"/>
          <w:szCs w:val="24"/>
          <w:lang w:val="en-US" w:eastAsia="zh-CN"/>
        </w:rPr>
      </w:pPr>
      <w:r>
        <w:rPr>
          <w:rFonts w:hint="eastAsia" w:ascii="宋体" w:hAnsi="宋体"/>
          <w:kern w:val="0"/>
          <w:sz w:val="24"/>
          <w:szCs w:val="24"/>
        </w:rPr>
        <w:t>2.建设单位：</w:t>
      </w:r>
      <w:bookmarkStart w:id="1" w:name="建设单位"/>
      <w:r>
        <w:rPr>
          <w:rFonts w:hint="eastAsia" w:ascii="宋体" w:hAnsi="宋体"/>
          <w:kern w:val="0"/>
          <w:sz w:val="24"/>
          <w:szCs w:val="24"/>
        </w:rPr>
        <w:t>桐庐</w:t>
      </w:r>
      <w:r>
        <w:rPr>
          <w:rFonts w:hint="eastAsia" w:ascii="宋体" w:hAnsi="宋体"/>
          <w:kern w:val="0"/>
          <w:sz w:val="24"/>
          <w:szCs w:val="24"/>
          <w:lang w:val="en-US" w:eastAsia="zh-CN"/>
        </w:rPr>
        <w:t>交通资产经营有限公司</w:t>
      </w:r>
      <w:r>
        <w:rPr>
          <w:rFonts w:hint="eastAsia" w:ascii="宋体" w:hAnsi="宋体"/>
          <w:kern w:val="0"/>
          <w:sz w:val="24"/>
          <w:szCs w:val="24"/>
          <w:lang w:eastAsia="zh-CN"/>
        </w:rPr>
        <w:t>；</w:t>
      </w:r>
      <w:r>
        <w:rPr>
          <w:rFonts w:hint="eastAsia" w:ascii="宋体" w:hAnsi="宋体"/>
          <w:kern w:val="0"/>
          <w:sz w:val="24"/>
          <w:szCs w:val="24"/>
          <w:lang w:val="en-US" w:eastAsia="zh-CN"/>
        </w:rPr>
        <w:t xml:space="preserve">                                                 </w:t>
      </w:r>
      <w:bookmarkEnd w:id="1"/>
      <w:r>
        <w:rPr>
          <w:rFonts w:hint="eastAsia" w:ascii="宋体" w:hAnsi="宋体"/>
          <w:kern w:val="0"/>
          <w:sz w:val="24"/>
          <w:szCs w:val="24"/>
          <w:lang w:val="en-US" w:eastAsia="zh-CN"/>
        </w:rPr>
        <w:t xml:space="preserve"> </w:t>
      </w:r>
    </w:p>
    <w:p w14:paraId="3964CB67">
      <w:pPr>
        <w:pStyle w:val="48"/>
        <w:widowControl/>
        <w:numPr>
          <w:ilvl w:val="0"/>
          <w:numId w:val="0"/>
        </w:numPr>
        <w:spacing w:line="500" w:lineRule="exact"/>
        <w:ind w:firstLine="480" w:firstLineChars="200"/>
        <w:rPr>
          <w:rFonts w:hint="eastAsia" w:ascii="宋体" w:hAnsi="宋体"/>
          <w:kern w:val="0"/>
          <w:sz w:val="24"/>
          <w:szCs w:val="24"/>
        </w:rPr>
      </w:pPr>
      <w:r>
        <w:rPr>
          <w:rFonts w:hint="eastAsia" w:ascii="宋体" w:hAnsi="宋体"/>
          <w:kern w:val="0"/>
          <w:sz w:val="24"/>
          <w:szCs w:val="24"/>
        </w:rPr>
        <w:t>3.工程地点：</w:t>
      </w:r>
      <w:r>
        <w:rPr>
          <w:rFonts w:hint="eastAsia" w:ascii="宋体" w:hAnsi="宋体"/>
          <w:sz w:val="24"/>
          <w:szCs w:val="24"/>
        </w:rPr>
        <w:t>桐庐县</w:t>
      </w:r>
      <w:r>
        <w:rPr>
          <w:rFonts w:hint="eastAsia" w:ascii="宋体" w:hAnsi="宋体"/>
          <w:sz w:val="24"/>
          <w:szCs w:val="24"/>
          <w:lang w:val="en-US" w:eastAsia="zh-CN"/>
        </w:rPr>
        <w:t>219 省道焦山互通至林场路口道路两侧；</w:t>
      </w:r>
    </w:p>
    <w:p w14:paraId="638A21D0">
      <w:pPr>
        <w:pStyle w:val="48"/>
        <w:widowControl/>
        <w:spacing w:line="500" w:lineRule="exact"/>
        <w:ind w:firstLine="480" w:firstLineChars="200"/>
        <w:rPr>
          <w:szCs w:val="21"/>
        </w:rPr>
      </w:pPr>
      <w:r>
        <w:rPr>
          <w:rFonts w:hint="eastAsia" w:ascii="宋体" w:hAnsi="宋体"/>
          <w:kern w:val="0"/>
          <w:sz w:val="24"/>
          <w:szCs w:val="24"/>
        </w:rPr>
        <w:t>4.工程规模及内容：施工图范围内的路基、路面、防护排水、交通安全设施等工程内容</w:t>
      </w:r>
      <w:r>
        <w:rPr>
          <w:rFonts w:hint="eastAsia" w:ascii="宋体" w:hAnsi="宋体"/>
          <w:kern w:val="0"/>
          <w:sz w:val="24"/>
          <w:szCs w:val="24"/>
          <w:lang w:eastAsia="zh-CN"/>
        </w:rPr>
        <w:t>。</w:t>
      </w:r>
      <w:r>
        <w:rPr>
          <w:rFonts w:hint="eastAsia"/>
          <w:szCs w:val="21"/>
        </w:rPr>
        <w:t xml:space="preserve"> </w:t>
      </w:r>
    </w:p>
    <w:p w14:paraId="2ABBF2FC">
      <w:pPr>
        <w:spacing w:line="400" w:lineRule="exact"/>
        <w:ind w:left="840"/>
        <w:rPr>
          <w:rFonts w:hint="eastAsia"/>
          <w:szCs w:val="21"/>
        </w:rPr>
      </w:pPr>
    </w:p>
    <w:p w14:paraId="0FABB6FD">
      <w:pPr>
        <w:numPr>
          <w:ilvl w:val="0"/>
          <w:numId w:val="1"/>
        </w:numPr>
        <w:tabs>
          <w:tab w:val="left" w:pos="1080"/>
          <w:tab w:val="left" w:pos="9180"/>
          <w:tab w:val="left" w:pos="9360"/>
        </w:tabs>
        <w:spacing w:line="360" w:lineRule="auto"/>
        <w:ind w:right="29" w:rightChars="12"/>
        <w:outlineLvl w:val="0"/>
        <w:rPr>
          <w:rFonts w:hint="eastAsia"/>
          <w:b/>
        </w:rPr>
      </w:pPr>
      <w:r>
        <w:rPr>
          <w:rFonts w:hint="eastAsia"/>
          <w:b/>
        </w:rPr>
        <w:t>工程招标范围</w:t>
      </w:r>
    </w:p>
    <w:p w14:paraId="2BEEE18C">
      <w:pPr>
        <w:spacing w:line="400" w:lineRule="exact"/>
        <w:ind w:firstLine="480" w:firstLineChars="200"/>
        <w:rPr>
          <w:rFonts w:hint="eastAsia"/>
          <w:szCs w:val="21"/>
        </w:rPr>
      </w:pPr>
      <w:r>
        <w:rPr>
          <w:rFonts w:hint="eastAsia"/>
          <w:szCs w:val="21"/>
        </w:rPr>
        <w:t>招标范围： 施工图范围内所有清单内容。</w:t>
      </w:r>
    </w:p>
    <w:p w14:paraId="33DD3341">
      <w:pPr>
        <w:tabs>
          <w:tab w:val="left" w:pos="1080"/>
          <w:tab w:val="left" w:pos="9180"/>
          <w:tab w:val="left" w:pos="9360"/>
        </w:tabs>
        <w:spacing w:line="360" w:lineRule="auto"/>
        <w:ind w:left="840" w:right="410" w:rightChars="171"/>
        <w:outlineLvl w:val="0"/>
        <w:rPr>
          <w:rFonts w:hint="eastAsia"/>
          <w:b/>
        </w:rPr>
      </w:pPr>
    </w:p>
    <w:p w14:paraId="4112B225">
      <w:pPr>
        <w:numPr>
          <w:ilvl w:val="0"/>
          <w:numId w:val="1"/>
        </w:numPr>
        <w:tabs>
          <w:tab w:val="left" w:pos="1080"/>
          <w:tab w:val="left" w:pos="9180"/>
          <w:tab w:val="left" w:pos="9360"/>
        </w:tabs>
        <w:spacing w:line="360" w:lineRule="auto"/>
        <w:ind w:right="29" w:rightChars="12"/>
        <w:outlineLvl w:val="0"/>
        <w:rPr>
          <w:b/>
        </w:rPr>
      </w:pPr>
      <w:r>
        <w:rPr>
          <w:rFonts w:hint="eastAsia"/>
          <w:b/>
        </w:rPr>
        <w:t>编制依据</w:t>
      </w:r>
    </w:p>
    <w:p w14:paraId="27B8B5EA">
      <w:pPr>
        <w:pStyle w:val="48"/>
        <w:widowControl/>
        <w:spacing w:line="500" w:lineRule="exact"/>
        <w:ind w:firstLine="480" w:firstLineChars="200"/>
        <w:rPr>
          <w:rFonts w:hint="eastAsia" w:ascii="宋体" w:hAnsi="宋体"/>
          <w:kern w:val="0"/>
          <w:sz w:val="24"/>
          <w:szCs w:val="24"/>
        </w:rPr>
      </w:pPr>
      <w:r>
        <w:rPr>
          <w:rFonts w:hint="eastAsia" w:ascii="宋体" w:hAnsi="宋体"/>
          <w:kern w:val="0"/>
          <w:sz w:val="24"/>
          <w:szCs w:val="24"/>
        </w:rPr>
        <w:t>1.</w:t>
      </w:r>
      <w:r>
        <w:rPr>
          <w:rFonts w:hint="eastAsia" w:ascii="宋体" w:hAnsi="宋体"/>
          <w:sz w:val="24"/>
          <w:szCs w:val="24"/>
        </w:rPr>
        <w:t>《</w:t>
      </w:r>
      <w:r>
        <w:rPr>
          <w:rFonts w:hint="eastAsia" w:ascii="宋体" w:hAnsi="宋体"/>
          <w:sz w:val="24"/>
          <w:szCs w:val="24"/>
          <w:lang w:val="en-US" w:eastAsia="zh-CN"/>
        </w:rPr>
        <w:t>浙江省交通建设工程工程量清单计价规范</w:t>
      </w:r>
      <w:r>
        <w:rPr>
          <w:rFonts w:hint="eastAsia" w:ascii="宋体" w:hAnsi="宋体"/>
          <w:sz w:val="24"/>
          <w:szCs w:val="24"/>
        </w:rPr>
        <w:t>》DB33/T 628.1—2021</w:t>
      </w:r>
      <w:r>
        <w:rPr>
          <w:rFonts w:hint="eastAsia" w:ascii="宋体" w:hAnsi="宋体"/>
          <w:kern w:val="0"/>
          <w:sz w:val="24"/>
          <w:szCs w:val="24"/>
        </w:rPr>
        <w:t>；</w:t>
      </w:r>
    </w:p>
    <w:p w14:paraId="2F152329">
      <w:pPr>
        <w:pStyle w:val="48"/>
        <w:widowControl/>
        <w:spacing w:line="500" w:lineRule="exact"/>
        <w:ind w:firstLine="480" w:firstLineChars="200"/>
        <w:rPr>
          <w:rFonts w:hint="eastAsia" w:ascii="宋体" w:hAnsi="宋体"/>
          <w:kern w:val="0"/>
          <w:sz w:val="24"/>
          <w:szCs w:val="24"/>
        </w:rPr>
      </w:pPr>
      <w:r>
        <w:rPr>
          <w:rFonts w:hint="eastAsia" w:ascii="宋体" w:hAnsi="宋体"/>
          <w:kern w:val="0"/>
          <w:sz w:val="24"/>
          <w:szCs w:val="24"/>
        </w:rPr>
        <w:t>2.</w:t>
      </w:r>
      <w:r>
        <w:rPr>
          <w:rFonts w:hint="eastAsia" w:ascii="宋体" w:hAnsi="宋体"/>
          <w:sz w:val="24"/>
          <w:szCs w:val="24"/>
        </w:rPr>
        <w:t>交通运输部《公路工程预算定额》（JTG/T 3822-2018）</w:t>
      </w:r>
      <w:r>
        <w:rPr>
          <w:rFonts w:hint="eastAsia" w:ascii="宋体" w:hAnsi="宋体"/>
          <w:kern w:val="0"/>
          <w:sz w:val="24"/>
          <w:szCs w:val="24"/>
        </w:rPr>
        <w:t>；</w:t>
      </w:r>
    </w:p>
    <w:p w14:paraId="240A42B0">
      <w:pPr>
        <w:pStyle w:val="48"/>
        <w:widowControl/>
        <w:spacing w:line="500" w:lineRule="exact"/>
        <w:ind w:firstLine="480" w:firstLineChars="200"/>
        <w:rPr>
          <w:rFonts w:hint="eastAsia" w:ascii="宋体" w:hAnsi="宋体"/>
          <w:kern w:val="0"/>
          <w:sz w:val="24"/>
          <w:szCs w:val="24"/>
        </w:rPr>
      </w:pPr>
      <w:r>
        <w:rPr>
          <w:rFonts w:hint="eastAsia" w:ascii="宋体" w:hAnsi="宋体"/>
          <w:kern w:val="0"/>
          <w:sz w:val="24"/>
          <w:szCs w:val="24"/>
        </w:rPr>
        <w:t>3.</w:t>
      </w:r>
      <w:r>
        <w:rPr>
          <w:rFonts w:hint="eastAsia" w:ascii="宋体" w:hAnsi="宋体"/>
          <w:sz w:val="24"/>
          <w:szCs w:val="24"/>
        </w:rPr>
        <w:t>交通运输部《公路工程机械台班费用定额》（JTG/T 3822-2018）</w:t>
      </w:r>
      <w:r>
        <w:rPr>
          <w:rFonts w:hint="eastAsia" w:ascii="宋体" w:hAnsi="宋体"/>
          <w:kern w:val="0"/>
          <w:sz w:val="24"/>
          <w:szCs w:val="24"/>
        </w:rPr>
        <w:t>；</w:t>
      </w:r>
    </w:p>
    <w:p w14:paraId="3CAFEB46">
      <w:pPr>
        <w:pStyle w:val="48"/>
        <w:widowControl/>
        <w:spacing w:line="500" w:lineRule="exact"/>
        <w:ind w:firstLine="480" w:firstLineChars="200"/>
        <w:rPr>
          <w:rFonts w:hint="default" w:ascii="宋体" w:hAnsi="宋体"/>
          <w:sz w:val="24"/>
          <w:szCs w:val="24"/>
          <w:lang w:val="en-US" w:eastAsia="zh-CN"/>
        </w:rPr>
      </w:pPr>
      <w:r>
        <w:rPr>
          <w:rFonts w:hint="eastAsia" w:ascii="宋体" w:hAnsi="宋体"/>
          <w:kern w:val="0"/>
          <w:sz w:val="24"/>
          <w:szCs w:val="24"/>
          <w:lang w:val="en-US" w:eastAsia="zh-CN"/>
        </w:rPr>
        <w:t>4.转发交通运输部2018年第86号公告的通知（浙交[2019]116号）等文</w:t>
      </w:r>
      <w:r>
        <w:rPr>
          <w:rFonts w:hint="eastAsia" w:ascii="宋体" w:hAnsi="宋体"/>
          <w:sz w:val="24"/>
          <w:szCs w:val="24"/>
          <w:lang w:val="en-US" w:eastAsia="zh-CN"/>
        </w:rPr>
        <w:t>件；</w:t>
      </w:r>
    </w:p>
    <w:p w14:paraId="5E91D9EF">
      <w:pPr>
        <w:pStyle w:val="48"/>
        <w:widowControl/>
        <w:spacing w:line="500" w:lineRule="exact"/>
        <w:ind w:firstLine="480" w:firstLineChars="200"/>
        <w:rPr>
          <w:rFonts w:hint="eastAsia" w:ascii="宋体" w:hAnsi="宋体"/>
          <w:sz w:val="24"/>
          <w:szCs w:val="24"/>
        </w:rPr>
      </w:pPr>
      <w:r>
        <w:rPr>
          <w:rFonts w:hint="eastAsia" w:ascii="宋体" w:hAnsi="宋体"/>
          <w:sz w:val="24"/>
          <w:szCs w:val="24"/>
          <w:lang w:val="en-US" w:eastAsia="zh-CN"/>
        </w:rPr>
        <w:t>5</w:t>
      </w:r>
      <w:r>
        <w:rPr>
          <w:rFonts w:hint="eastAsia" w:ascii="宋体" w:hAnsi="宋体"/>
          <w:sz w:val="24"/>
          <w:szCs w:val="24"/>
        </w:rPr>
        <w:t>.</w:t>
      </w:r>
      <w:r>
        <w:rPr>
          <w:rFonts w:hint="eastAsia" w:ascii="宋体" w:hAnsi="宋体"/>
          <w:sz w:val="24"/>
          <w:szCs w:val="24"/>
          <w:lang w:val="en-US" w:eastAsia="zh-CN"/>
        </w:rPr>
        <w:t>杭州市交通规划设计研究院有限公司</w:t>
      </w:r>
      <w:r>
        <w:rPr>
          <w:rFonts w:hint="eastAsia" w:ascii="宋体" w:hAnsi="宋体"/>
          <w:sz w:val="24"/>
          <w:szCs w:val="24"/>
        </w:rPr>
        <w:t>设的施工图纸；</w:t>
      </w:r>
    </w:p>
    <w:p w14:paraId="17B1BA6C">
      <w:pPr>
        <w:pStyle w:val="48"/>
        <w:widowControl/>
        <w:spacing w:line="500" w:lineRule="exact"/>
        <w:ind w:firstLine="480" w:firstLineChars="200"/>
        <w:rPr>
          <w:rFonts w:hint="eastAsia" w:ascii="宋体" w:hAnsi="宋体"/>
          <w:sz w:val="24"/>
          <w:szCs w:val="24"/>
          <w:lang w:eastAsia="zh-CN"/>
        </w:rPr>
      </w:pPr>
      <w:r>
        <w:rPr>
          <w:rFonts w:hint="eastAsia" w:ascii="宋体" w:hAnsi="宋体"/>
          <w:kern w:val="0"/>
          <w:sz w:val="24"/>
          <w:szCs w:val="24"/>
          <w:lang w:val="en-US" w:eastAsia="zh-CN"/>
        </w:rPr>
        <w:t>6.</w:t>
      </w:r>
      <w:r>
        <w:rPr>
          <w:rFonts w:hint="eastAsia" w:ascii="宋体" w:hAnsi="宋体" w:cs="仿宋_GB2312"/>
          <w:sz w:val="24"/>
          <w:szCs w:val="24"/>
          <w:lang w:eastAsia="zh-CN"/>
        </w:rPr>
        <w:t>《</w:t>
      </w:r>
      <w:r>
        <w:rPr>
          <w:rFonts w:hint="eastAsia" w:ascii="宋体" w:hAnsi="宋体" w:cs="仿宋_GB2312"/>
          <w:sz w:val="24"/>
          <w:szCs w:val="24"/>
          <w:lang w:val="en-US" w:eastAsia="zh-CN"/>
        </w:rPr>
        <w:t>杭州交通工程造价管理</w:t>
      </w:r>
      <w:r>
        <w:rPr>
          <w:rFonts w:hint="eastAsia" w:ascii="宋体" w:hAnsi="宋体" w:cs="仿宋_GB2312"/>
          <w:sz w:val="24"/>
          <w:szCs w:val="24"/>
          <w:lang w:eastAsia="zh-CN"/>
        </w:rPr>
        <w:t>》</w:t>
      </w:r>
      <w:r>
        <w:rPr>
          <w:rFonts w:hint="eastAsia" w:ascii="宋体" w:hAnsi="宋体" w:cs="仿宋_GB2312"/>
          <w:sz w:val="24"/>
          <w:szCs w:val="24"/>
          <w:lang w:val="en-US" w:eastAsia="zh-CN"/>
        </w:rPr>
        <w:t>2025年1月刊</w:t>
      </w:r>
      <w:r>
        <w:rPr>
          <w:rFonts w:hint="eastAsia" w:ascii="宋体" w:hAnsi="宋体" w:cs="仿宋_GB2312"/>
          <w:sz w:val="24"/>
          <w:szCs w:val="24"/>
          <w:lang w:eastAsia="zh-CN"/>
        </w:rPr>
        <w:t>、</w:t>
      </w:r>
      <w:r>
        <w:rPr>
          <w:rFonts w:hint="eastAsia" w:ascii="宋体" w:hAnsi="宋体"/>
          <w:sz w:val="24"/>
          <w:szCs w:val="24"/>
        </w:rPr>
        <w:t>《杭州造价信息》202</w:t>
      </w:r>
      <w:r>
        <w:rPr>
          <w:rFonts w:hint="eastAsia" w:ascii="宋体" w:hAnsi="宋体"/>
          <w:sz w:val="24"/>
          <w:szCs w:val="24"/>
          <w:lang w:val="en-US" w:eastAsia="zh-CN"/>
        </w:rPr>
        <w:t>5</w:t>
      </w:r>
      <w:r>
        <w:rPr>
          <w:rFonts w:hint="eastAsia" w:ascii="宋体" w:hAnsi="宋体"/>
          <w:sz w:val="24"/>
          <w:szCs w:val="24"/>
        </w:rPr>
        <w:t>年第</w:t>
      </w:r>
      <w:r>
        <w:rPr>
          <w:rFonts w:hint="eastAsia" w:ascii="宋体" w:hAnsi="宋体"/>
          <w:sz w:val="24"/>
          <w:szCs w:val="24"/>
          <w:lang w:val="en-US" w:eastAsia="zh-CN"/>
        </w:rPr>
        <w:t>1</w:t>
      </w:r>
      <w:r>
        <w:rPr>
          <w:rFonts w:hint="eastAsia" w:ascii="宋体" w:hAnsi="宋体"/>
          <w:sz w:val="24"/>
          <w:szCs w:val="24"/>
        </w:rPr>
        <w:t>期桐庐县正刊、《浙江省造价信息》202</w:t>
      </w:r>
      <w:r>
        <w:rPr>
          <w:rFonts w:hint="eastAsia" w:ascii="宋体" w:hAnsi="宋体"/>
          <w:sz w:val="24"/>
          <w:szCs w:val="24"/>
          <w:lang w:val="en-US" w:eastAsia="zh-CN"/>
        </w:rPr>
        <w:t>5</w:t>
      </w:r>
      <w:r>
        <w:rPr>
          <w:rFonts w:hint="eastAsia" w:ascii="宋体" w:hAnsi="宋体"/>
          <w:sz w:val="24"/>
          <w:szCs w:val="24"/>
        </w:rPr>
        <w:t>年第</w:t>
      </w:r>
      <w:r>
        <w:rPr>
          <w:rFonts w:hint="eastAsia" w:ascii="宋体" w:hAnsi="宋体"/>
          <w:sz w:val="24"/>
          <w:szCs w:val="24"/>
          <w:lang w:val="en-US" w:eastAsia="zh-CN"/>
        </w:rPr>
        <w:t>1</w:t>
      </w:r>
      <w:r>
        <w:rPr>
          <w:rFonts w:hint="eastAsia" w:ascii="宋体" w:hAnsi="宋体"/>
          <w:sz w:val="24"/>
          <w:szCs w:val="24"/>
        </w:rPr>
        <w:t>期正刊，无信息价的材料价格按市场询价计入</w:t>
      </w:r>
      <w:r>
        <w:rPr>
          <w:rFonts w:hint="eastAsia" w:ascii="宋体" w:hAnsi="宋体"/>
          <w:sz w:val="24"/>
          <w:szCs w:val="24"/>
          <w:lang w:eastAsia="zh-CN"/>
        </w:rPr>
        <w:t>；</w:t>
      </w:r>
    </w:p>
    <w:p w14:paraId="4B412BCB">
      <w:pPr>
        <w:pStyle w:val="48"/>
        <w:widowControl/>
        <w:spacing w:line="500" w:lineRule="exact"/>
        <w:ind w:firstLine="480" w:firstLineChars="200"/>
        <w:rPr>
          <w:rFonts w:hint="eastAsia" w:ascii="宋体" w:hAnsi="宋体"/>
          <w:kern w:val="0"/>
          <w:sz w:val="24"/>
          <w:szCs w:val="24"/>
        </w:rPr>
      </w:pPr>
      <w:r>
        <w:rPr>
          <w:rFonts w:hint="eastAsia" w:ascii="宋体" w:hAnsi="宋体"/>
          <w:kern w:val="0"/>
          <w:sz w:val="24"/>
          <w:szCs w:val="24"/>
          <w:lang w:val="en-US" w:eastAsia="zh-CN"/>
        </w:rPr>
        <w:t>7</w:t>
      </w:r>
      <w:r>
        <w:rPr>
          <w:rFonts w:hint="eastAsia" w:ascii="宋体" w:hAnsi="宋体"/>
          <w:kern w:val="0"/>
          <w:sz w:val="24"/>
          <w:szCs w:val="24"/>
        </w:rPr>
        <w:t>.相关解释、政策文件及法律法规等。</w:t>
      </w:r>
    </w:p>
    <w:p w14:paraId="01CA14FE">
      <w:pPr>
        <w:pStyle w:val="48"/>
        <w:widowControl/>
        <w:spacing w:line="500" w:lineRule="exact"/>
        <w:ind w:firstLine="480" w:firstLineChars="200"/>
        <w:rPr>
          <w:rFonts w:hint="eastAsia" w:ascii="宋体" w:hAnsi="宋体"/>
          <w:kern w:val="0"/>
          <w:sz w:val="24"/>
          <w:szCs w:val="24"/>
        </w:rPr>
      </w:pPr>
    </w:p>
    <w:p w14:paraId="53491711">
      <w:pPr>
        <w:numPr>
          <w:ilvl w:val="0"/>
          <w:numId w:val="1"/>
        </w:numPr>
        <w:tabs>
          <w:tab w:val="left" w:pos="1080"/>
          <w:tab w:val="left" w:pos="9180"/>
          <w:tab w:val="left" w:pos="9360"/>
        </w:tabs>
        <w:spacing w:line="360" w:lineRule="auto"/>
        <w:ind w:right="29" w:rightChars="12"/>
        <w:outlineLvl w:val="0"/>
        <w:rPr>
          <w:b/>
        </w:rPr>
      </w:pPr>
      <w:r>
        <w:rPr>
          <w:rFonts w:hint="eastAsia"/>
          <w:b/>
        </w:rPr>
        <w:t>工程质量、工期</w:t>
      </w:r>
    </w:p>
    <w:p w14:paraId="72D5DAA7">
      <w:pPr>
        <w:spacing w:line="400" w:lineRule="exact"/>
        <w:ind w:firstLine="480" w:firstLineChars="200"/>
        <w:rPr>
          <w:rFonts w:hint="eastAsia"/>
          <w:szCs w:val="21"/>
        </w:rPr>
      </w:pPr>
      <w:r>
        <w:rPr>
          <w:rFonts w:hint="eastAsia"/>
          <w:szCs w:val="21"/>
        </w:rPr>
        <w:t>工程质量、工期：见本工程招标文件。</w:t>
      </w:r>
    </w:p>
    <w:p w14:paraId="33D51B55">
      <w:pPr>
        <w:numPr>
          <w:numId w:val="0"/>
        </w:numPr>
        <w:tabs>
          <w:tab w:val="left" w:pos="1080"/>
          <w:tab w:val="left" w:pos="9180"/>
          <w:tab w:val="left" w:pos="9360"/>
        </w:tabs>
        <w:spacing w:line="360" w:lineRule="auto"/>
        <w:ind w:right="29" w:rightChars="12"/>
        <w:outlineLvl w:val="0"/>
        <w:rPr>
          <w:rFonts w:hint="eastAsia"/>
        </w:rPr>
      </w:pPr>
    </w:p>
    <w:p w14:paraId="030A6429">
      <w:pPr>
        <w:numPr>
          <w:ilvl w:val="0"/>
          <w:numId w:val="1"/>
        </w:numPr>
        <w:tabs>
          <w:tab w:val="left" w:pos="1080"/>
          <w:tab w:val="left" w:pos="9180"/>
          <w:tab w:val="left" w:pos="9360"/>
        </w:tabs>
        <w:spacing w:line="360" w:lineRule="auto"/>
        <w:ind w:right="29" w:rightChars="12"/>
        <w:outlineLvl w:val="0"/>
        <w:rPr>
          <w:rFonts w:hint="eastAsia"/>
        </w:rPr>
      </w:pPr>
      <w:r>
        <w:rPr>
          <w:rFonts w:hint="eastAsia" w:ascii="宋体" w:hAnsi="宋体" w:eastAsia="宋体" w:cs="宋体"/>
          <w:b/>
          <w:lang w:val="en-US" w:eastAsia="zh-CN"/>
        </w:rPr>
        <w:t>编</w:t>
      </w:r>
      <w:r>
        <w:rPr>
          <w:rFonts w:hint="eastAsia"/>
          <w:b/>
          <w:lang w:val="en-US" w:eastAsia="zh-CN"/>
        </w:rPr>
        <w:t>制</w:t>
      </w:r>
      <w:r>
        <w:rPr>
          <w:rFonts w:hint="eastAsia"/>
          <w:b/>
        </w:rPr>
        <w:t>说明</w:t>
      </w:r>
    </w:p>
    <w:p w14:paraId="53F3D937">
      <w:pPr>
        <w:numPr>
          <w:ilvl w:val="0"/>
          <w:numId w:val="2"/>
        </w:numPr>
        <w:spacing w:line="360" w:lineRule="auto"/>
        <w:ind w:left="0" w:leftChars="0" w:firstLine="400" w:firstLineChars="0"/>
        <w:jc w:val="both"/>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承包人应综合考虑本项目施工政策处理、交通组织（含方案编制、评审、媒体公示等一切准备工作）、雨季台风的不确定性等的特殊性，发包人不另行支付；</w:t>
      </w:r>
    </w:p>
    <w:p w14:paraId="03DA46A8">
      <w:pPr>
        <w:numPr>
          <w:ilvl w:val="0"/>
          <w:numId w:val="2"/>
        </w:numPr>
        <w:spacing w:line="360" w:lineRule="auto"/>
        <w:ind w:left="0" w:leftChars="0" w:firstLine="400" w:firstLineChars="0"/>
        <w:jc w:val="both"/>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本项目的混凝土均采用商品混凝土，施工工程中均须使用钢模板；</w:t>
      </w:r>
    </w:p>
    <w:p w14:paraId="04F1F00F">
      <w:pPr>
        <w:numPr>
          <w:ilvl w:val="0"/>
          <w:numId w:val="2"/>
        </w:numPr>
        <w:spacing w:line="360" w:lineRule="auto"/>
        <w:ind w:left="0" w:leftChars="0" w:firstLine="400" w:firstLineChars="0"/>
        <w:jc w:val="both"/>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临时供电设施架设、维护与拆除：根据现场情况，包括了变压器及供电线路费用，同时配备发电机组，共同满足施工用电需要；</w:t>
      </w:r>
    </w:p>
    <w:p w14:paraId="29732080">
      <w:pPr>
        <w:numPr>
          <w:ilvl w:val="0"/>
          <w:numId w:val="2"/>
        </w:numPr>
        <w:spacing w:line="360" w:lineRule="auto"/>
        <w:ind w:left="0" w:leftChars="0" w:firstLine="400" w:firstLineChars="0"/>
        <w:jc w:val="both"/>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清理与掘除(包括清理现场、砍树挖根等)由投标人考虑在其它工程量清单综合单价中，招标人不再另行计量与支付；</w:t>
      </w:r>
    </w:p>
    <w:p w14:paraId="407D9DCA">
      <w:pPr>
        <w:numPr>
          <w:ilvl w:val="0"/>
          <w:numId w:val="2"/>
        </w:numPr>
        <w:spacing w:line="360" w:lineRule="auto"/>
        <w:ind w:left="0" w:leftChars="0" w:firstLine="400" w:firstLineChars="0"/>
        <w:jc w:val="both"/>
        <w:rPr>
          <w:rFonts w:hint="eastAsia" w:cs="Times New Roman"/>
          <w:kern w:val="0"/>
          <w:sz w:val="24"/>
          <w:szCs w:val="24"/>
          <w:lang w:val="en-US" w:eastAsia="zh-CN" w:bidi="ar-SA"/>
        </w:rPr>
      </w:pPr>
      <w:r>
        <w:rPr>
          <w:rFonts w:hint="eastAsia" w:ascii="宋体" w:hAnsi="宋体" w:eastAsia="宋体" w:cs="Times New Roman"/>
          <w:kern w:val="0"/>
          <w:sz w:val="24"/>
          <w:szCs w:val="24"/>
          <w:lang w:val="en-US" w:eastAsia="zh-CN" w:bidi="ar-SA"/>
        </w:rPr>
        <w:t>本工程量清单中所列工程数量是估算的或设计的预计数量，仅作为投标时的共同基础，不能作为最终结算与支付的依据。实际支付应按实际完成的工程量，由承包人按技术规范规定的计量方法，以监理人认可的尺寸、断面计量，按工程量清单的单价和总额价计算支付金额；或者根据具体情况，按合同条款的规定，由监理人审核并经过招标人确定后的单价或总额价计算支付额。工程量清单预算中各项金额均以人民币(元)结算</w:t>
      </w:r>
      <w:r>
        <w:rPr>
          <w:rFonts w:hint="eastAsia" w:cs="Times New Roman"/>
          <w:kern w:val="0"/>
          <w:sz w:val="24"/>
          <w:szCs w:val="24"/>
          <w:lang w:val="en-US" w:eastAsia="zh-CN" w:bidi="ar-SA"/>
        </w:rPr>
        <w:t>；</w:t>
      </w:r>
    </w:p>
    <w:p w14:paraId="38F250ED">
      <w:pPr>
        <w:numPr>
          <w:ilvl w:val="0"/>
          <w:numId w:val="2"/>
        </w:numPr>
        <w:spacing w:line="360" w:lineRule="auto"/>
        <w:ind w:left="0" w:leftChars="0" w:firstLine="400" w:firstLineChars="0"/>
        <w:jc w:val="both"/>
        <w:rPr>
          <w:rFonts w:hint="eastAsia" w:ascii="宋体" w:hAnsi="宋体" w:eastAsia="宋体" w:cs="Times New Roman"/>
          <w:kern w:val="0"/>
          <w:sz w:val="24"/>
          <w:szCs w:val="24"/>
          <w:lang w:val="en-US" w:eastAsia="zh-CN" w:bidi="ar-SA"/>
        </w:rPr>
      </w:pPr>
      <w:r>
        <w:rPr>
          <w:rFonts w:hint="eastAsia" w:cs="Times New Roman"/>
          <w:kern w:val="0"/>
          <w:sz w:val="24"/>
          <w:szCs w:val="24"/>
          <w:lang w:val="en-US" w:eastAsia="zh-CN" w:bidi="ar-SA"/>
        </w:rPr>
        <w:t>混凝土的所有原材料、挖掘机及混凝土拌和机等机械设备进场后必须经监理确认后，才能使用。严禁采用工程附近河道中的砂石料作为混凝土的原材料，严禁采用挖掘机拌和混凝土。</w:t>
      </w:r>
    </w:p>
    <w:p w14:paraId="4F912734">
      <w:pPr>
        <w:numPr>
          <w:ilvl w:val="0"/>
          <w:numId w:val="2"/>
        </w:numPr>
        <w:spacing w:line="360" w:lineRule="auto"/>
        <w:ind w:left="0" w:leftChars="0" w:firstLine="400" w:firstLineChars="0"/>
        <w:jc w:val="both"/>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除非合同另有规定，投标单位有标价的单价和总额价均已包括了为实施和完成合同工程所需的劳务、材料、机械、质检(自检)、安装、缺陷修复、管理、保险、税费、利润等费用，以及合同明示或暗示的所有责任、义务和一般风险；</w:t>
      </w:r>
    </w:p>
    <w:p w14:paraId="397EC054">
      <w:pPr>
        <w:numPr>
          <w:ilvl w:val="0"/>
          <w:numId w:val="2"/>
        </w:numPr>
        <w:spacing w:line="360" w:lineRule="auto"/>
        <w:ind w:left="0" w:leftChars="0" w:firstLine="400" w:firstLineChars="0"/>
        <w:jc w:val="both"/>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编制的预算中所列工程量的变动，丝毫不会降低或影响合同条款的效力，也不免除承包人按规定的标准进行施工和修复缺陷的责任；</w:t>
      </w:r>
    </w:p>
    <w:p w14:paraId="6C63DC98">
      <w:pPr>
        <w:numPr>
          <w:ilvl w:val="0"/>
          <w:numId w:val="2"/>
        </w:numPr>
        <w:spacing w:line="360" w:lineRule="auto"/>
        <w:ind w:left="0" w:leftChars="0" w:firstLine="400" w:firstLineChars="0"/>
        <w:jc w:val="both"/>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投标人应自行勘察现场，充分了解施工场地的位置、周边环境、道路、装卸、保管、安装限制、城市管理规定以及影响投标报价的其他要素，结合市场情况综合考虑，并将相关因素考虑在投标报价中，不再另行计量与支付；</w:t>
      </w:r>
    </w:p>
    <w:p w14:paraId="1D24BD9A">
      <w:pPr>
        <w:numPr>
          <w:numId w:val="0"/>
        </w:numPr>
        <w:tabs>
          <w:tab w:val="left" w:pos="1080"/>
          <w:tab w:val="left" w:pos="9180"/>
          <w:tab w:val="left" w:pos="9360"/>
        </w:tabs>
        <w:spacing w:line="360" w:lineRule="auto"/>
        <w:ind w:right="29" w:rightChars="12"/>
        <w:outlineLvl w:val="0"/>
        <w:rPr>
          <w:rFonts w:hint="default" w:eastAsia="宋体"/>
          <w:lang w:val="en-US" w:eastAsia="zh-CN"/>
        </w:rPr>
      </w:pPr>
    </w:p>
    <w:p w14:paraId="45A2DE1C">
      <w:pPr>
        <w:numPr>
          <w:ilvl w:val="0"/>
          <w:numId w:val="1"/>
        </w:numPr>
        <w:tabs>
          <w:tab w:val="left" w:pos="1080"/>
          <w:tab w:val="left" w:pos="9180"/>
          <w:tab w:val="left" w:pos="9360"/>
        </w:tabs>
        <w:spacing w:line="360" w:lineRule="auto"/>
        <w:ind w:right="29" w:rightChars="12"/>
        <w:outlineLvl w:val="0"/>
        <w:rPr>
          <w:rFonts w:hint="default" w:eastAsia="宋体"/>
          <w:lang w:val="en-US" w:eastAsia="zh-CN"/>
        </w:rPr>
      </w:pPr>
      <w:r>
        <w:rPr>
          <w:rFonts w:hint="eastAsia"/>
          <w:b/>
          <w:lang w:val="en-US" w:eastAsia="zh-CN"/>
        </w:rPr>
        <w:t>本工程预算造价为79.3816万元。</w:t>
      </w:r>
    </w:p>
    <w:p w14:paraId="1F520747">
      <w:pPr>
        <w:numPr>
          <w:numId w:val="0"/>
        </w:numPr>
        <w:tabs>
          <w:tab w:val="left" w:pos="1080"/>
          <w:tab w:val="left" w:pos="9180"/>
          <w:tab w:val="left" w:pos="9360"/>
        </w:tabs>
        <w:spacing w:line="360" w:lineRule="auto"/>
        <w:ind w:right="29" w:rightChars="12"/>
        <w:outlineLvl w:val="0"/>
        <w:rPr>
          <w:rFonts w:hint="default" w:eastAsia="宋体"/>
          <w:lang w:val="en-US" w:eastAsia="zh-CN"/>
        </w:rPr>
      </w:pPr>
    </w:p>
    <w:p w14:paraId="65C1F27D">
      <w:pPr>
        <w:numPr>
          <w:ilvl w:val="0"/>
          <w:numId w:val="0"/>
        </w:numPr>
        <w:tabs>
          <w:tab w:val="left" w:pos="1080"/>
          <w:tab w:val="left" w:pos="9180"/>
          <w:tab w:val="left" w:pos="9360"/>
        </w:tabs>
        <w:spacing w:line="360" w:lineRule="auto"/>
        <w:ind w:right="29" w:rightChars="12" w:firstLine="482" w:firstLineChars="200"/>
        <w:outlineLvl w:val="0"/>
        <w:rPr>
          <w:rFonts w:hint="eastAsia"/>
          <w:b/>
          <w:lang w:val="en-US" w:eastAsia="zh-CN"/>
        </w:rPr>
      </w:pPr>
      <w:r>
        <w:rPr>
          <w:rFonts w:hint="eastAsia"/>
          <w:b/>
          <w:lang w:val="en-US" w:eastAsia="zh-CN"/>
        </w:rPr>
        <w:t>七、其他说明：</w:t>
      </w:r>
    </w:p>
    <w:p w14:paraId="74769E3F">
      <w:pPr>
        <w:pStyle w:val="48"/>
        <w:widowControl/>
        <w:spacing w:line="500" w:lineRule="exact"/>
        <w:ind w:firstLine="480" w:firstLineChars="200"/>
        <w:rPr>
          <w:rFonts w:hint="default" w:ascii="宋体" w:hAnsi="宋体"/>
          <w:kern w:val="0"/>
          <w:sz w:val="24"/>
          <w:szCs w:val="24"/>
          <w:lang w:val="en-US" w:eastAsia="zh-CN"/>
        </w:rPr>
      </w:pPr>
      <w:r>
        <w:rPr>
          <w:rFonts w:hint="default" w:ascii="宋体" w:hAnsi="宋体"/>
          <w:kern w:val="0"/>
          <w:sz w:val="24"/>
          <w:szCs w:val="24"/>
          <w:lang w:val="en-US" w:eastAsia="zh-CN"/>
        </w:rPr>
        <w:t>1.工程量清单中的项目名称与特征描述仅指主要内容，未描述的内容与要求必须结合施工验收规范、当地行业主管部门要求、施工蓝图等进行报价及施工，投标报价时综合单价应充分考虑合同、招标文件、施工验收规范、当地行业主管部门要求、施工蓝图等明示和暗示的所有责任、义务和一般风险（除不可抗力及罕见的气候和地质条件）的全部费用。</w:t>
      </w:r>
    </w:p>
    <w:p w14:paraId="1DC1B743">
      <w:pPr>
        <w:pStyle w:val="48"/>
        <w:widowControl/>
        <w:spacing w:line="500" w:lineRule="exact"/>
        <w:ind w:firstLine="480" w:firstLineChars="200"/>
        <w:rPr>
          <w:rFonts w:hint="default" w:ascii="宋体" w:hAnsi="宋体"/>
          <w:kern w:val="0"/>
          <w:sz w:val="24"/>
          <w:szCs w:val="24"/>
          <w:lang w:val="en-US" w:eastAsia="zh-CN"/>
        </w:rPr>
      </w:pPr>
      <w:r>
        <w:rPr>
          <w:rFonts w:hint="default" w:ascii="宋体" w:hAnsi="宋体"/>
          <w:kern w:val="0"/>
          <w:sz w:val="24"/>
          <w:szCs w:val="24"/>
          <w:lang w:val="en-US" w:eastAsia="zh-CN"/>
        </w:rPr>
        <w:t>2.施工便道设置必须方便市民群众和本区块其它标段的施工，满足交警等道路管理部门要求，应充分考虑施工便道的设置方案，费用计入报价。</w:t>
      </w:r>
    </w:p>
    <w:p w14:paraId="574125DC">
      <w:pPr>
        <w:pStyle w:val="48"/>
        <w:widowControl/>
        <w:spacing w:line="500" w:lineRule="exact"/>
        <w:ind w:firstLine="480" w:firstLineChars="200"/>
        <w:rPr>
          <w:rFonts w:hint="default" w:ascii="宋体" w:hAnsi="宋体"/>
          <w:kern w:val="0"/>
          <w:sz w:val="24"/>
          <w:szCs w:val="24"/>
          <w:lang w:val="en-US" w:eastAsia="zh-CN"/>
        </w:rPr>
      </w:pPr>
      <w:r>
        <w:rPr>
          <w:rFonts w:hint="default" w:ascii="宋体" w:hAnsi="宋体"/>
          <w:kern w:val="0"/>
          <w:sz w:val="24"/>
          <w:szCs w:val="24"/>
          <w:lang w:val="en-US" w:eastAsia="zh-CN"/>
        </w:rPr>
        <w:t>3.本工程周围建筑物及杆线的保护费、保证交通安全等要求投标单位综合考虑，并单列费用进入措施项目清单报价中，中标后不作调整。</w:t>
      </w:r>
    </w:p>
    <w:p w14:paraId="1B8FE041">
      <w:pPr>
        <w:pStyle w:val="48"/>
        <w:widowControl/>
        <w:spacing w:line="500" w:lineRule="exact"/>
        <w:ind w:firstLine="480" w:firstLineChars="200"/>
        <w:rPr>
          <w:rFonts w:hint="default" w:ascii="宋体" w:hAnsi="宋体"/>
          <w:kern w:val="0"/>
          <w:sz w:val="24"/>
          <w:szCs w:val="24"/>
          <w:lang w:val="en-US" w:eastAsia="zh-CN"/>
        </w:rPr>
      </w:pPr>
      <w:r>
        <w:rPr>
          <w:rFonts w:hint="default" w:ascii="宋体" w:hAnsi="宋体"/>
          <w:kern w:val="0"/>
          <w:sz w:val="24"/>
          <w:szCs w:val="24"/>
          <w:lang w:val="en-US" w:eastAsia="zh-CN"/>
        </w:rPr>
        <w:t>4.施工期间特别要注意加强安全措施，施工中的安全标志、警戒标志、标牌制作、夜间照明费用等安全措施费在报价时进入措施项目报价清单中，中标后一律不作调整，请在投标报价中综合考虑。</w:t>
      </w:r>
    </w:p>
    <w:p w14:paraId="5BC7D87E">
      <w:pPr>
        <w:pStyle w:val="48"/>
        <w:widowControl/>
        <w:spacing w:line="500" w:lineRule="exact"/>
        <w:ind w:firstLine="480" w:firstLineChars="200"/>
        <w:rPr>
          <w:rFonts w:hint="default" w:ascii="宋体" w:hAnsi="宋体"/>
          <w:kern w:val="0"/>
          <w:sz w:val="24"/>
          <w:szCs w:val="24"/>
          <w:lang w:val="en-US" w:eastAsia="zh-CN"/>
        </w:rPr>
      </w:pPr>
      <w:r>
        <w:rPr>
          <w:rFonts w:hint="default" w:ascii="宋体" w:hAnsi="宋体"/>
          <w:kern w:val="0"/>
          <w:sz w:val="24"/>
          <w:szCs w:val="24"/>
          <w:lang w:val="en-US" w:eastAsia="zh-CN"/>
        </w:rPr>
        <w:t>5.投标人应考虑施工期间恶劣天气对工程整体进度的影响，在技术标中明确切实可行的技术防范措施来保证工程整体进度，将该费用列入措施项目清单报价中。</w:t>
      </w:r>
    </w:p>
    <w:p w14:paraId="7E78E173">
      <w:pPr>
        <w:pStyle w:val="48"/>
        <w:widowControl/>
        <w:spacing w:line="500" w:lineRule="exact"/>
        <w:ind w:firstLine="480" w:firstLineChars="200"/>
        <w:rPr>
          <w:rFonts w:hint="default" w:ascii="宋体" w:hAnsi="宋体"/>
          <w:kern w:val="0"/>
          <w:sz w:val="24"/>
          <w:szCs w:val="24"/>
          <w:lang w:val="en-US" w:eastAsia="zh-CN"/>
        </w:rPr>
      </w:pPr>
      <w:r>
        <w:rPr>
          <w:rFonts w:hint="default" w:ascii="宋体" w:hAnsi="宋体"/>
          <w:kern w:val="0"/>
          <w:sz w:val="24"/>
          <w:szCs w:val="24"/>
          <w:lang w:val="en-US" w:eastAsia="zh-CN"/>
        </w:rPr>
        <w:t>6.风险费自行考虑，计入综合单价。风险范围包括：详见招标文件。</w:t>
      </w:r>
    </w:p>
    <w:p w14:paraId="36629318">
      <w:pPr>
        <w:pStyle w:val="48"/>
        <w:widowControl/>
        <w:spacing w:line="500" w:lineRule="exact"/>
        <w:ind w:firstLine="480" w:firstLineChars="200"/>
        <w:rPr>
          <w:rFonts w:hint="default" w:ascii="宋体" w:hAnsi="宋体"/>
          <w:kern w:val="0"/>
          <w:sz w:val="24"/>
          <w:szCs w:val="24"/>
          <w:lang w:val="en-US" w:eastAsia="zh-CN"/>
        </w:rPr>
      </w:pPr>
      <w:r>
        <w:rPr>
          <w:rFonts w:hint="default" w:ascii="宋体" w:hAnsi="宋体"/>
          <w:kern w:val="0"/>
          <w:sz w:val="24"/>
          <w:szCs w:val="24"/>
          <w:lang w:val="en-US" w:eastAsia="zh-CN"/>
        </w:rPr>
        <w:t>7.临时设施在工程竣工验收后 15 天内搬迁完毕，场地清理干净，否则由建设单位负责拆除、清理，费用在工程款中扣除。</w:t>
      </w:r>
    </w:p>
    <w:p w14:paraId="7A170A57">
      <w:pPr>
        <w:pStyle w:val="48"/>
        <w:widowControl/>
        <w:spacing w:line="500" w:lineRule="exact"/>
        <w:ind w:firstLine="480" w:firstLineChars="200"/>
        <w:rPr>
          <w:rFonts w:hint="default" w:ascii="宋体" w:hAnsi="宋体"/>
          <w:kern w:val="0"/>
          <w:sz w:val="24"/>
          <w:szCs w:val="24"/>
          <w:lang w:val="en-US" w:eastAsia="zh-CN"/>
        </w:rPr>
      </w:pPr>
      <w:r>
        <w:rPr>
          <w:rFonts w:hint="default" w:ascii="宋体" w:hAnsi="宋体"/>
          <w:kern w:val="0"/>
          <w:sz w:val="24"/>
          <w:szCs w:val="24"/>
          <w:lang w:val="en-US" w:eastAsia="zh-CN"/>
        </w:rPr>
        <w:t>8.施工现场临时围挡应按照《杭州市建设工地临时用房及围挡安全管理办法》执行，围挡上的宣传标语、标志标牌等相关费用计入安全文明施工费中，不另行计量。</w:t>
      </w:r>
    </w:p>
    <w:p w14:paraId="5B9B6873">
      <w:pPr>
        <w:pStyle w:val="48"/>
        <w:widowControl/>
        <w:spacing w:line="500" w:lineRule="exact"/>
        <w:ind w:firstLine="480" w:firstLineChars="200"/>
        <w:rPr>
          <w:rFonts w:hint="eastAsia" w:ascii="宋体" w:hAnsi="宋体"/>
          <w:kern w:val="0"/>
          <w:sz w:val="24"/>
          <w:szCs w:val="24"/>
          <w:lang w:val="en-US" w:eastAsia="zh-CN"/>
        </w:rPr>
      </w:pPr>
      <w:r>
        <w:rPr>
          <w:rFonts w:hint="eastAsia" w:ascii="宋体" w:hAnsi="宋体"/>
          <w:kern w:val="0"/>
          <w:sz w:val="24"/>
          <w:szCs w:val="24"/>
          <w:lang w:val="en-US" w:eastAsia="zh-CN"/>
        </w:rPr>
        <w:t>9.清单第100章没有列出的子目均视为已计入其它子目中，不再另行计量与支付。</w:t>
      </w:r>
    </w:p>
    <w:p w14:paraId="351F982B">
      <w:pPr>
        <w:pStyle w:val="48"/>
        <w:widowControl/>
        <w:spacing w:line="500" w:lineRule="exact"/>
        <w:ind w:firstLine="480" w:firstLineChars="200"/>
        <w:rPr>
          <w:rFonts w:hint="default" w:ascii="宋体" w:hAnsi="宋体"/>
          <w:kern w:val="0"/>
          <w:sz w:val="24"/>
          <w:szCs w:val="24"/>
          <w:lang w:val="en-US" w:eastAsia="zh-CN"/>
        </w:rPr>
      </w:pPr>
      <w:r>
        <w:rPr>
          <w:rFonts w:hint="eastAsia" w:ascii="宋体" w:hAnsi="宋体"/>
          <w:kern w:val="0"/>
          <w:sz w:val="24"/>
          <w:szCs w:val="24"/>
          <w:lang w:val="en-US" w:eastAsia="zh-CN"/>
        </w:rPr>
        <w:t>10.</w:t>
      </w:r>
      <w:r>
        <w:rPr>
          <w:rFonts w:hint="default" w:ascii="宋体" w:hAnsi="宋体"/>
          <w:kern w:val="0"/>
          <w:sz w:val="24"/>
          <w:szCs w:val="24"/>
          <w:lang w:val="en-US" w:eastAsia="zh-CN"/>
        </w:rPr>
        <w:t>暂列金额（不含计日工总额）的数量及拟用子目的说明：除合同另有规定外, 应由监理人按合同条款的规定, 结合工程具体情况, 报经发包人批准后指令全部或部分地使用, 或者根本不予动用</w:t>
      </w:r>
      <w:r>
        <w:rPr>
          <w:rFonts w:hint="eastAsia" w:ascii="宋体" w:hAnsi="宋体"/>
          <w:kern w:val="0"/>
          <w:sz w:val="24"/>
          <w:szCs w:val="24"/>
          <w:lang w:val="en-US" w:eastAsia="zh-CN"/>
        </w:rPr>
        <w:t>。</w:t>
      </w:r>
    </w:p>
    <w:p w14:paraId="0581CD62">
      <w:pPr>
        <w:rPr>
          <w:rFonts w:hint="eastAsia"/>
        </w:rPr>
      </w:pPr>
    </w:p>
    <w:sectPr>
      <w:headerReference r:id="rId3" w:type="default"/>
      <w:footerReference r:id="rId4" w:type="default"/>
      <w:pgSz w:w="11906" w:h="16838"/>
      <w:pgMar w:top="1440" w:right="1800" w:bottom="1440" w:left="1800" w:header="851" w:footer="992" w:gutter="0"/>
      <w:pgNumType w:fmt="decimal"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F12C7F">
    <w:pPr>
      <w:pStyle w:val="11"/>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72085" cy="147955"/>
              <wp:effectExtent l="0" t="0" r="0" b="0"/>
              <wp:wrapNone/>
              <wp:docPr id="3" name="文本框 1"/>
              <wp:cNvGraphicFramePr/>
              <a:graphic xmlns:a="http://schemas.openxmlformats.org/drawingml/2006/main">
                <a:graphicData uri="http://schemas.microsoft.com/office/word/2010/wordprocessingShape">
                  <wps:wsp>
                    <wps:cNvSpPr txBox="1"/>
                    <wps:spPr>
                      <a:xfrm>
                        <a:off x="0" y="0"/>
                        <a:ext cx="172085" cy="147955"/>
                      </a:xfrm>
                      <a:prstGeom prst="rect">
                        <a:avLst/>
                      </a:prstGeom>
                      <a:noFill/>
                      <a:ln>
                        <a:noFill/>
                      </a:ln>
                    </wps:spPr>
                    <wps:txbx>
                      <w:txbxContent>
                        <w:p w14:paraId="071F1E00">
                          <w:pPr>
                            <w:snapToGrid w:val="0"/>
                            <w:rPr>
                              <w:rFonts w:hint="eastAsia"/>
                              <w:sz w:val="18"/>
                            </w:rPr>
                          </w:pPr>
                          <w:r>
                            <w:rPr>
                              <w:rFonts w:hint="eastAsia"/>
                              <w:sz w:val="18"/>
                            </w:rPr>
                            <w:t>-</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20</w:t>
                          </w:r>
                          <w:r>
                            <w:rPr>
                              <w:rFonts w:hint="eastAsia"/>
                              <w:sz w:val="18"/>
                            </w:rPr>
                            <w:fldChar w:fldCharType="end"/>
                          </w:r>
                          <w:r>
                            <w:rPr>
                              <w:rFonts w:hint="eastAsia"/>
                              <w:sz w:val="18"/>
                            </w:rPr>
                            <w:t>-</w:t>
                          </w:r>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1.65pt;width:13.55pt;mso-position-horizontal:center;mso-position-horizontal-relative:margin;mso-wrap-style:none;z-index:251660288;mso-width-relative:page;mso-height-relative:page;" filled="f" stroked="f" coordsize="21600,21600" o:gfxdata="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81RGj0QAAAAMBAAAPAAAAAAAAAAEAIAAAACIAAABkcnMvZG93&#10;bnJldi54bWxQSwECFAAUAAAACACHTuJAsOAOdc4BAACXAwAADgAAAAAAAAABACAAAAAgAQAAZHJz&#10;L2Uyb0RvYy54bWxQSwUGAAAAAAYABgBZAQAAYAUAAAAA&#10;">
              <v:fill on="f" focussize="0,0"/>
              <v:stroke on="f"/>
              <v:imagedata o:title=""/>
              <o:lock v:ext="edit" aspectratio="f"/>
              <v:textbox inset="0mm,0mm,0mm,0mm" style="mso-fit-shape-to-text:t;">
                <w:txbxContent>
                  <w:p w14:paraId="071F1E00">
                    <w:pPr>
                      <w:snapToGrid w:val="0"/>
                      <w:rPr>
                        <w:rFonts w:hint="eastAsia"/>
                        <w:sz w:val="18"/>
                      </w:rPr>
                    </w:pPr>
                    <w:r>
                      <w:rPr>
                        <w:rFonts w:hint="eastAsia"/>
                        <w:sz w:val="18"/>
                      </w:rPr>
                      <w:t>-</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20</w:t>
                    </w:r>
                    <w:r>
                      <w:rPr>
                        <w:rFonts w:hint="eastAsia"/>
                        <w:sz w:val="18"/>
                      </w:rPr>
                      <w:fldChar w:fldCharType="end"/>
                    </w:r>
                    <w:r>
                      <w:rPr>
                        <w:rFonts w:hint="eastAsia"/>
                        <w:sz w:val="1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7FE31">
    <w:pPr>
      <w:pStyle w:val="12"/>
      <w:pBdr>
        <w:bottom w:val="thinThickLargeGap" w:color="auto" w:sz="24" w:space="17"/>
      </w:pBdr>
      <w:tabs>
        <w:tab w:val="left" w:pos="1394"/>
        <w:tab w:val="clear" w:pos="4153"/>
        <w:tab w:val="clear" w:pos="8306"/>
      </w:tabs>
      <w:jc w:val="left"/>
    </w:pPr>
    <w:r>
      <w:drawing>
        <wp:anchor distT="0" distB="0" distL="114300" distR="114300" simplePos="0" relativeHeight="251661312" behindDoc="0" locked="0" layoutInCell="1" allowOverlap="1">
          <wp:simplePos x="0" y="0"/>
          <wp:positionH relativeFrom="margin">
            <wp:align>center</wp:align>
          </wp:positionH>
          <wp:positionV relativeFrom="margin">
            <wp:align>center</wp:align>
          </wp:positionV>
          <wp:extent cx="2766060" cy="2766060"/>
          <wp:effectExtent l="0" t="0" r="15240" b="15240"/>
          <wp:wrapNone/>
          <wp:docPr id="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2"/>
                  <pic:cNvPicPr>
                    <a:picLocks noChangeAspect="1"/>
                  </pic:cNvPicPr>
                </pic:nvPicPr>
                <pic:blipFill>
                  <a:blip r:embed="rId1"/>
                  <a:stretch>
                    <a:fillRect/>
                  </a:stretch>
                </pic:blipFill>
                <pic:spPr>
                  <a:xfrm>
                    <a:off x="0" y="0"/>
                    <a:ext cx="2766060" cy="2766060"/>
                  </a:xfrm>
                  <a:prstGeom prst="rect">
                    <a:avLst/>
                  </a:prstGeom>
                  <a:noFill/>
                  <a:ln>
                    <a:noFill/>
                  </a:ln>
                </pic:spPr>
              </pic:pic>
            </a:graphicData>
          </a:graphic>
        </wp:anchor>
      </w:drawing>
    </w:r>
    <w:r>
      <w:drawing>
        <wp:anchor distT="0" distB="0" distL="114300" distR="114300" simplePos="0" relativeHeight="251659264" behindDoc="1" locked="0" layoutInCell="1" allowOverlap="1">
          <wp:simplePos x="0" y="0"/>
          <wp:positionH relativeFrom="column">
            <wp:posOffset>-3810</wp:posOffset>
          </wp:positionH>
          <wp:positionV relativeFrom="paragraph">
            <wp:posOffset>57150</wp:posOffset>
          </wp:positionV>
          <wp:extent cx="1143000" cy="271780"/>
          <wp:effectExtent l="0" t="0" r="0" b="13970"/>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2"/>
                  <a:stretch>
                    <a:fillRect/>
                  </a:stretch>
                </pic:blipFill>
                <pic:spPr>
                  <a:xfrm>
                    <a:off x="0" y="0"/>
                    <a:ext cx="1143000" cy="27178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69D781"/>
    <w:multiLevelType w:val="singleLevel"/>
    <w:tmpl w:val="DE69D781"/>
    <w:lvl w:ilvl="0" w:tentative="0">
      <w:start w:val="1"/>
      <w:numFmt w:val="decimal"/>
      <w:suff w:val="nothing"/>
      <w:lvlText w:val="%1．"/>
      <w:lvlJc w:val="left"/>
      <w:pPr>
        <w:ind w:left="0" w:firstLine="400"/>
      </w:pPr>
      <w:rPr>
        <w:rFonts w:hint="default"/>
      </w:rPr>
    </w:lvl>
  </w:abstractNum>
  <w:abstractNum w:abstractNumId="1">
    <w:nsid w:val="6ACDFA2B"/>
    <w:multiLevelType w:val="multilevel"/>
    <w:tmpl w:val="6ACDFA2B"/>
    <w:lvl w:ilvl="0" w:tentative="0">
      <w:start w:val="1"/>
      <w:numFmt w:val="japaneseCounting"/>
      <w:lvlText w:val="%1、"/>
      <w:lvlJc w:val="left"/>
      <w:pPr>
        <w:tabs>
          <w:tab w:val="left" w:pos="840"/>
        </w:tabs>
        <w:ind w:left="840" w:hanging="358"/>
      </w:pPr>
      <w:rPr>
        <w:rFonts w:hint="eastAsia"/>
      </w:rPr>
    </w:lvl>
    <w:lvl w:ilvl="1" w:tentative="0">
      <w:start w:val="1"/>
      <w:numFmt w:val="lowerLetter"/>
      <w:lvlText w:val="%2)"/>
      <w:lvlJc w:val="left"/>
      <w:pPr>
        <w:tabs>
          <w:tab w:val="left" w:pos="1124"/>
        </w:tabs>
        <w:ind w:left="1124" w:hanging="420"/>
      </w:pPr>
      <w:rPr>
        <w:rFonts w:hint="eastAsia"/>
      </w:rPr>
    </w:lvl>
    <w:lvl w:ilvl="2" w:tentative="0">
      <w:start w:val="1"/>
      <w:numFmt w:val="lowerRoman"/>
      <w:lvlText w:val="%3."/>
      <w:lvlJc w:val="right"/>
      <w:pPr>
        <w:tabs>
          <w:tab w:val="left" w:pos="1544"/>
        </w:tabs>
        <w:ind w:left="1544" w:hanging="420"/>
      </w:pPr>
      <w:rPr>
        <w:rFonts w:hint="eastAsia"/>
      </w:rPr>
    </w:lvl>
    <w:lvl w:ilvl="3" w:tentative="0">
      <w:start w:val="1"/>
      <w:numFmt w:val="decimal"/>
      <w:lvlText w:val="%4."/>
      <w:lvlJc w:val="left"/>
      <w:pPr>
        <w:tabs>
          <w:tab w:val="left" w:pos="1964"/>
        </w:tabs>
        <w:ind w:left="1964" w:hanging="420"/>
      </w:pPr>
      <w:rPr>
        <w:rFonts w:hint="eastAsia"/>
      </w:rPr>
    </w:lvl>
    <w:lvl w:ilvl="4" w:tentative="0">
      <w:start w:val="1"/>
      <w:numFmt w:val="lowerLetter"/>
      <w:lvlText w:val="%5)"/>
      <w:lvlJc w:val="left"/>
      <w:pPr>
        <w:tabs>
          <w:tab w:val="left" w:pos="2384"/>
        </w:tabs>
        <w:ind w:left="2384" w:hanging="420"/>
      </w:pPr>
      <w:rPr>
        <w:rFonts w:hint="eastAsia"/>
      </w:rPr>
    </w:lvl>
    <w:lvl w:ilvl="5" w:tentative="0">
      <w:start w:val="1"/>
      <w:numFmt w:val="lowerRoman"/>
      <w:lvlText w:val="%6."/>
      <w:lvlJc w:val="right"/>
      <w:pPr>
        <w:tabs>
          <w:tab w:val="left" w:pos="2804"/>
        </w:tabs>
        <w:ind w:left="2804" w:hanging="420"/>
      </w:pPr>
      <w:rPr>
        <w:rFonts w:hint="eastAsia"/>
      </w:rPr>
    </w:lvl>
    <w:lvl w:ilvl="6" w:tentative="0">
      <w:start w:val="1"/>
      <w:numFmt w:val="decimal"/>
      <w:lvlText w:val="%7."/>
      <w:lvlJc w:val="left"/>
      <w:pPr>
        <w:tabs>
          <w:tab w:val="left" w:pos="3224"/>
        </w:tabs>
        <w:ind w:left="3224" w:hanging="420"/>
      </w:pPr>
      <w:rPr>
        <w:rFonts w:hint="eastAsia"/>
      </w:rPr>
    </w:lvl>
    <w:lvl w:ilvl="7" w:tentative="0">
      <w:start w:val="1"/>
      <w:numFmt w:val="lowerLetter"/>
      <w:lvlText w:val="%8)"/>
      <w:lvlJc w:val="left"/>
      <w:pPr>
        <w:tabs>
          <w:tab w:val="left" w:pos="3644"/>
        </w:tabs>
        <w:ind w:left="3644" w:hanging="420"/>
      </w:pPr>
      <w:rPr>
        <w:rFonts w:hint="eastAsia"/>
      </w:rPr>
    </w:lvl>
    <w:lvl w:ilvl="8" w:tentative="0">
      <w:start w:val="1"/>
      <w:numFmt w:val="lowerRoman"/>
      <w:lvlText w:val="%9."/>
      <w:lvlJc w:val="right"/>
      <w:pPr>
        <w:tabs>
          <w:tab w:val="left" w:pos="4064"/>
        </w:tabs>
        <w:ind w:left="4064" w:hanging="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20"/>
  <w:drawingGridVerticalSpacing w:val="163"/>
  <w:displayHorizontalDrawingGridEvery w:val="2"/>
  <w:displayVerticalDrawingGridEvery w:val="2"/>
  <w:noPunctuationKerning w:val="1"/>
  <w:characterSpacingControl w:val="doNotCompress"/>
  <w:doNotValidateAgainstSchema/>
  <w:doNotDemarcateInvalidXml/>
  <w:hdrShapeDefaults>
    <o:shapelayout v:ext="edit">
      <o:idmap v:ext="edit" data="3"/>
    </o:shapelayout>
  </w:hdrShapeDefaults>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wMmM4NzQ2MGI3N2E2M2Q1M2RhMjM3NDdmZTUxMGIifQ=="/>
  </w:docVars>
  <w:rsids>
    <w:rsidRoot w:val="00172A27"/>
    <w:rsid w:val="00013517"/>
    <w:rsid w:val="00014750"/>
    <w:rsid w:val="00014F24"/>
    <w:rsid w:val="00024509"/>
    <w:rsid w:val="00030D04"/>
    <w:rsid w:val="00033B1D"/>
    <w:rsid w:val="00036ACE"/>
    <w:rsid w:val="00036AD2"/>
    <w:rsid w:val="0004433C"/>
    <w:rsid w:val="000461EB"/>
    <w:rsid w:val="000464F8"/>
    <w:rsid w:val="00046C7D"/>
    <w:rsid w:val="000513B3"/>
    <w:rsid w:val="000536A1"/>
    <w:rsid w:val="00055111"/>
    <w:rsid w:val="000624E6"/>
    <w:rsid w:val="000655AA"/>
    <w:rsid w:val="00071FF8"/>
    <w:rsid w:val="00075DBA"/>
    <w:rsid w:val="00082DB7"/>
    <w:rsid w:val="00087F59"/>
    <w:rsid w:val="000A5C9E"/>
    <w:rsid w:val="000B3C64"/>
    <w:rsid w:val="000D7721"/>
    <w:rsid w:val="000E37A7"/>
    <w:rsid w:val="000F2A74"/>
    <w:rsid w:val="000F4643"/>
    <w:rsid w:val="000F4E7C"/>
    <w:rsid w:val="000F74B0"/>
    <w:rsid w:val="00103A2C"/>
    <w:rsid w:val="00106F1E"/>
    <w:rsid w:val="0011415A"/>
    <w:rsid w:val="001320BB"/>
    <w:rsid w:val="00134F8F"/>
    <w:rsid w:val="00137E46"/>
    <w:rsid w:val="0014609B"/>
    <w:rsid w:val="001465BB"/>
    <w:rsid w:val="001503AD"/>
    <w:rsid w:val="00197802"/>
    <w:rsid w:val="001A0E55"/>
    <w:rsid w:val="001A1ECD"/>
    <w:rsid w:val="001A1F50"/>
    <w:rsid w:val="001B3D08"/>
    <w:rsid w:val="001C5DB6"/>
    <w:rsid w:val="001D7248"/>
    <w:rsid w:val="001E649D"/>
    <w:rsid w:val="001F7C2E"/>
    <w:rsid w:val="00205F9E"/>
    <w:rsid w:val="002074A3"/>
    <w:rsid w:val="00211356"/>
    <w:rsid w:val="002133D7"/>
    <w:rsid w:val="002134DC"/>
    <w:rsid w:val="0022339F"/>
    <w:rsid w:val="00237EBD"/>
    <w:rsid w:val="002436C9"/>
    <w:rsid w:val="00250117"/>
    <w:rsid w:val="00250FA2"/>
    <w:rsid w:val="0025510D"/>
    <w:rsid w:val="00267C38"/>
    <w:rsid w:val="002722C2"/>
    <w:rsid w:val="00273E9F"/>
    <w:rsid w:val="00274D14"/>
    <w:rsid w:val="00287342"/>
    <w:rsid w:val="00287EA7"/>
    <w:rsid w:val="002960FF"/>
    <w:rsid w:val="002973FC"/>
    <w:rsid w:val="002978D4"/>
    <w:rsid w:val="002B635C"/>
    <w:rsid w:val="002C6B03"/>
    <w:rsid w:val="002C7A6C"/>
    <w:rsid w:val="002D301E"/>
    <w:rsid w:val="002E3A6A"/>
    <w:rsid w:val="002E5140"/>
    <w:rsid w:val="002F4E98"/>
    <w:rsid w:val="002F646E"/>
    <w:rsid w:val="002F6893"/>
    <w:rsid w:val="00301095"/>
    <w:rsid w:val="00325D69"/>
    <w:rsid w:val="0032677A"/>
    <w:rsid w:val="0033771D"/>
    <w:rsid w:val="00340AAF"/>
    <w:rsid w:val="00346F13"/>
    <w:rsid w:val="003703F0"/>
    <w:rsid w:val="00375E73"/>
    <w:rsid w:val="00387F43"/>
    <w:rsid w:val="003A1257"/>
    <w:rsid w:val="003B0FCE"/>
    <w:rsid w:val="003B1005"/>
    <w:rsid w:val="003B3815"/>
    <w:rsid w:val="003B70E9"/>
    <w:rsid w:val="003C17B3"/>
    <w:rsid w:val="003C274B"/>
    <w:rsid w:val="003D079E"/>
    <w:rsid w:val="003D2230"/>
    <w:rsid w:val="003D61D7"/>
    <w:rsid w:val="003E521A"/>
    <w:rsid w:val="003F2C76"/>
    <w:rsid w:val="003F7655"/>
    <w:rsid w:val="004030DC"/>
    <w:rsid w:val="00404EA8"/>
    <w:rsid w:val="00427EC9"/>
    <w:rsid w:val="0043307A"/>
    <w:rsid w:val="00436045"/>
    <w:rsid w:val="00436FD5"/>
    <w:rsid w:val="00461803"/>
    <w:rsid w:val="00461B30"/>
    <w:rsid w:val="004638EE"/>
    <w:rsid w:val="00477526"/>
    <w:rsid w:val="004776FC"/>
    <w:rsid w:val="00484EB8"/>
    <w:rsid w:val="004853E7"/>
    <w:rsid w:val="0049410D"/>
    <w:rsid w:val="00497C04"/>
    <w:rsid w:val="004A4254"/>
    <w:rsid w:val="004A736C"/>
    <w:rsid w:val="004A76F3"/>
    <w:rsid w:val="004B263C"/>
    <w:rsid w:val="004B311D"/>
    <w:rsid w:val="004C04D6"/>
    <w:rsid w:val="004C1685"/>
    <w:rsid w:val="004E6C7B"/>
    <w:rsid w:val="004E6FB7"/>
    <w:rsid w:val="004F0C30"/>
    <w:rsid w:val="004F4063"/>
    <w:rsid w:val="004F5A73"/>
    <w:rsid w:val="004F5B42"/>
    <w:rsid w:val="004F6112"/>
    <w:rsid w:val="004F6FAB"/>
    <w:rsid w:val="00503A1D"/>
    <w:rsid w:val="005069CB"/>
    <w:rsid w:val="005100C8"/>
    <w:rsid w:val="00512CFF"/>
    <w:rsid w:val="00527C7E"/>
    <w:rsid w:val="00527D04"/>
    <w:rsid w:val="0053335F"/>
    <w:rsid w:val="00546A26"/>
    <w:rsid w:val="0056389A"/>
    <w:rsid w:val="00564D5B"/>
    <w:rsid w:val="00581FFC"/>
    <w:rsid w:val="005860E9"/>
    <w:rsid w:val="005973A3"/>
    <w:rsid w:val="005A0201"/>
    <w:rsid w:val="005A49D7"/>
    <w:rsid w:val="005B3A9F"/>
    <w:rsid w:val="005B55F9"/>
    <w:rsid w:val="005D30DA"/>
    <w:rsid w:val="005D64C0"/>
    <w:rsid w:val="005D6AF0"/>
    <w:rsid w:val="005D7370"/>
    <w:rsid w:val="005E1A1C"/>
    <w:rsid w:val="005E6761"/>
    <w:rsid w:val="00601F15"/>
    <w:rsid w:val="00603367"/>
    <w:rsid w:val="0062126E"/>
    <w:rsid w:val="00624EB0"/>
    <w:rsid w:val="0063066B"/>
    <w:rsid w:val="006319B1"/>
    <w:rsid w:val="00645EAE"/>
    <w:rsid w:val="006477CB"/>
    <w:rsid w:val="00651B55"/>
    <w:rsid w:val="006600ED"/>
    <w:rsid w:val="006825E1"/>
    <w:rsid w:val="00691951"/>
    <w:rsid w:val="006A1FD1"/>
    <w:rsid w:val="006A33D7"/>
    <w:rsid w:val="006A77C6"/>
    <w:rsid w:val="006B3A40"/>
    <w:rsid w:val="006C1885"/>
    <w:rsid w:val="006E7D23"/>
    <w:rsid w:val="006F4D5B"/>
    <w:rsid w:val="006F7A42"/>
    <w:rsid w:val="00700A73"/>
    <w:rsid w:val="00712FDA"/>
    <w:rsid w:val="00716854"/>
    <w:rsid w:val="007218EF"/>
    <w:rsid w:val="00721E55"/>
    <w:rsid w:val="0074357F"/>
    <w:rsid w:val="007470CC"/>
    <w:rsid w:val="00747AC4"/>
    <w:rsid w:val="007533B7"/>
    <w:rsid w:val="00760C7B"/>
    <w:rsid w:val="00770FE1"/>
    <w:rsid w:val="00774972"/>
    <w:rsid w:val="007773AE"/>
    <w:rsid w:val="00780C21"/>
    <w:rsid w:val="00791664"/>
    <w:rsid w:val="00794D20"/>
    <w:rsid w:val="007950B2"/>
    <w:rsid w:val="007A357D"/>
    <w:rsid w:val="007A54BB"/>
    <w:rsid w:val="007B2F0D"/>
    <w:rsid w:val="007D40A2"/>
    <w:rsid w:val="007F6481"/>
    <w:rsid w:val="007F6CE4"/>
    <w:rsid w:val="008007E8"/>
    <w:rsid w:val="0080691A"/>
    <w:rsid w:val="00833716"/>
    <w:rsid w:val="00837A5C"/>
    <w:rsid w:val="008407B6"/>
    <w:rsid w:val="00852967"/>
    <w:rsid w:val="0085400A"/>
    <w:rsid w:val="00870DEC"/>
    <w:rsid w:val="0088209C"/>
    <w:rsid w:val="008830BF"/>
    <w:rsid w:val="0088755C"/>
    <w:rsid w:val="00887E4F"/>
    <w:rsid w:val="00891B9A"/>
    <w:rsid w:val="008A5389"/>
    <w:rsid w:val="008B0D0D"/>
    <w:rsid w:val="008B3E87"/>
    <w:rsid w:val="008B6969"/>
    <w:rsid w:val="008C353C"/>
    <w:rsid w:val="008C6FCC"/>
    <w:rsid w:val="008C7801"/>
    <w:rsid w:val="008D6148"/>
    <w:rsid w:val="008E33C7"/>
    <w:rsid w:val="008E3D13"/>
    <w:rsid w:val="008F4A18"/>
    <w:rsid w:val="008F5C55"/>
    <w:rsid w:val="009000A2"/>
    <w:rsid w:val="00904B4A"/>
    <w:rsid w:val="009152F1"/>
    <w:rsid w:val="009203C5"/>
    <w:rsid w:val="0092155A"/>
    <w:rsid w:val="00922B4F"/>
    <w:rsid w:val="00922F70"/>
    <w:rsid w:val="00930AD8"/>
    <w:rsid w:val="00935D76"/>
    <w:rsid w:val="00936744"/>
    <w:rsid w:val="00937ECA"/>
    <w:rsid w:val="00942D0E"/>
    <w:rsid w:val="0095612A"/>
    <w:rsid w:val="009675E9"/>
    <w:rsid w:val="009808AF"/>
    <w:rsid w:val="00990BCA"/>
    <w:rsid w:val="009A336F"/>
    <w:rsid w:val="009A3C0F"/>
    <w:rsid w:val="009A4110"/>
    <w:rsid w:val="009A6023"/>
    <w:rsid w:val="009B132E"/>
    <w:rsid w:val="009B1644"/>
    <w:rsid w:val="009C16B7"/>
    <w:rsid w:val="009D300A"/>
    <w:rsid w:val="009D39A8"/>
    <w:rsid w:val="009E3733"/>
    <w:rsid w:val="009E3B12"/>
    <w:rsid w:val="009E5C77"/>
    <w:rsid w:val="009F625B"/>
    <w:rsid w:val="009F70AC"/>
    <w:rsid w:val="00A10C57"/>
    <w:rsid w:val="00A15A3D"/>
    <w:rsid w:val="00A23133"/>
    <w:rsid w:val="00A24E14"/>
    <w:rsid w:val="00A339C8"/>
    <w:rsid w:val="00A33F60"/>
    <w:rsid w:val="00A3445C"/>
    <w:rsid w:val="00A37919"/>
    <w:rsid w:val="00A443E1"/>
    <w:rsid w:val="00A4792A"/>
    <w:rsid w:val="00A51A52"/>
    <w:rsid w:val="00A537E0"/>
    <w:rsid w:val="00A6078B"/>
    <w:rsid w:val="00A7142F"/>
    <w:rsid w:val="00A76B14"/>
    <w:rsid w:val="00A828F4"/>
    <w:rsid w:val="00AB565F"/>
    <w:rsid w:val="00AC4266"/>
    <w:rsid w:val="00AD2D29"/>
    <w:rsid w:val="00AD44E1"/>
    <w:rsid w:val="00AD79B9"/>
    <w:rsid w:val="00AE0B05"/>
    <w:rsid w:val="00AE2F13"/>
    <w:rsid w:val="00AE5BA0"/>
    <w:rsid w:val="00AE6C0C"/>
    <w:rsid w:val="00AE74BD"/>
    <w:rsid w:val="00AF36F8"/>
    <w:rsid w:val="00B0379A"/>
    <w:rsid w:val="00B142EC"/>
    <w:rsid w:val="00B22B36"/>
    <w:rsid w:val="00B3095C"/>
    <w:rsid w:val="00B3183B"/>
    <w:rsid w:val="00B35D02"/>
    <w:rsid w:val="00B42AA4"/>
    <w:rsid w:val="00B52C62"/>
    <w:rsid w:val="00B54FBC"/>
    <w:rsid w:val="00B647F0"/>
    <w:rsid w:val="00B67FA7"/>
    <w:rsid w:val="00B87B5E"/>
    <w:rsid w:val="00BA5536"/>
    <w:rsid w:val="00BA7F84"/>
    <w:rsid w:val="00BB5465"/>
    <w:rsid w:val="00BB6332"/>
    <w:rsid w:val="00BC6E81"/>
    <w:rsid w:val="00BD7657"/>
    <w:rsid w:val="00BE7ACA"/>
    <w:rsid w:val="00BF45D2"/>
    <w:rsid w:val="00BF4F05"/>
    <w:rsid w:val="00BF500E"/>
    <w:rsid w:val="00C01775"/>
    <w:rsid w:val="00C018D1"/>
    <w:rsid w:val="00C07958"/>
    <w:rsid w:val="00C11624"/>
    <w:rsid w:val="00C205F0"/>
    <w:rsid w:val="00C219BD"/>
    <w:rsid w:val="00C21E3A"/>
    <w:rsid w:val="00C458FB"/>
    <w:rsid w:val="00C51629"/>
    <w:rsid w:val="00C552B7"/>
    <w:rsid w:val="00C62AD0"/>
    <w:rsid w:val="00C62DB9"/>
    <w:rsid w:val="00C63F2A"/>
    <w:rsid w:val="00C7305B"/>
    <w:rsid w:val="00C7470C"/>
    <w:rsid w:val="00C80446"/>
    <w:rsid w:val="00C8211B"/>
    <w:rsid w:val="00C8213A"/>
    <w:rsid w:val="00C83A6C"/>
    <w:rsid w:val="00C84F19"/>
    <w:rsid w:val="00C853A3"/>
    <w:rsid w:val="00C902C5"/>
    <w:rsid w:val="00CA7695"/>
    <w:rsid w:val="00CB034D"/>
    <w:rsid w:val="00CD4DEB"/>
    <w:rsid w:val="00CD5178"/>
    <w:rsid w:val="00CE0FCE"/>
    <w:rsid w:val="00CE1CAC"/>
    <w:rsid w:val="00CE5F48"/>
    <w:rsid w:val="00CF4F9D"/>
    <w:rsid w:val="00CF6531"/>
    <w:rsid w:val="00D05ADC"/>
    <w:rsid w:val="00D06F55"/>
    <w:rsid w:val="00D15691"/>
    <w:rsid w:val="00D158AD"/>
    <w:rsid w:val="00D20D80"/>
    <w:rsid w:val="00D371A1"/>
    <w:rsid w:val="00D4518B"/>
    <w:rsid w:val="00D5686C"/>
    <w:rsid w:val="00D67EE3"/>
    <w:rsid w:val="00D73E3B"/>
    <w:rsid w:val="00D77B0F"/>
    <w:rsid w:val="00D84419"/>
    <w:rsid w:val="00D91071"/>
    <w:rsid w:val="00D9448E"/>
    <w:rsid w:val="00DA32A9"/>
    <w:rsid w:val="00DA634E"/>
    <w:rsid w:val="00DB1432"/>
    <w:rsid w:val="00DB4E6F"/>
    <w:rsid w:val="00DC2F6E"/>
    <w:rsid w:val="00DC4C48"/>
    <w:rsid w:val="00DD5F2D"/>
    <w:rsid w:val="00DD79BF"/>
    <w:rsid w:val="00DE294A"/>
    <w:rsid w:val="00DE61B8"/>
    <w:rsid w:val="00DF1567"/>
    <w:rsid w:val="00DF2B0F"/>
    <w:rsid w:val="00E10E2F"/>
    <w:rsid w:val="00E3445C"/>
    <w:rsid w:val="00E41484"/>
    <w:rsid w:val="00E41DB5"/>
    <w:rsid w:val="00E47C43"/>
    <w:rsid w:val="00E51446"/>
    <w:rsid w:val="00E51AEE"/>
    <w:rsid w:val="00E60D12"/>
    <w:rsid w:val="00E613BB"/>
    <w:rsid w:val="00E6368C"/>
    <w:rsid w:val="00E719F9"/>
    <w:rsid w:val="00E823A2"/>
    <w:rsid w:val="00E94FF6"/>
    <w:rsid w:val="00EB071D"/>
    <w:rsid w:val="00EC0A9D"/>
    <w:rsid w:val="00EC3DA3"/>
    <w:rsid w:val="00EE27A8"/>
    <w:rsid w:val="00EF1005"/>
    <w:rsid w:val="00EF7E8B"/>
    <w:rsid w:val="00F02D97"/>
    <w:rsid w:val="00F054EC"/>
    <w:rsid w:val="00F1029E"/>
    <w:rsid w:val="00F572E9"/>
    <w:rsid w:val="00F65601"/>
    <w:rsid w:val="00F710CC"/>
    <w:rsid w:val="00F747A3"/>
    <w:rsid w:val="00F80620"/>
    <w:rsid w:val="00F900CE"/>
    <w:rsid w:val="00F91B33"/>
    <w:rsid w:val="00F923CC"/>
    <w:rsid w:val="00F94961"/>
    <w:rsid w:val="00FA18B7"/>
    <w:rsid w:val="00FA251B"/>
    <w:rsid w:val="00FA7EC5"/>
    <w:rsid w:val="00FB3755"/>
    <w:rsid w:val="00FB38E6"/>
    <w:rsid w:val="00FB50BC"/>
    <w:rsid w:val="00FB59CA"/>
    <w:rsid w:val="00FC0F19"/>
    <w:rsid w:val="00FC79C3"/>
    <w:rsid w:val="00FC7C5C"/>
    <w:rsid w:val="00FD480B"/>
    <w:rsid w:val="00FE2E59"/>
    <w:rsid w:val="00FE73DB"/>
    <w:rsid w:val="00FF0C31"/>
    <w:rsid w:val="01557A3F"/>
    <w:rsid w:val="01626D55"/>
    <w:rsid w:val="02360DC8"/>
    <w:rsid w:val="023C66B8"/>
    <w:rsid w:val="024B344F"/>
    <w:rsid w:val="03494ECC"/>
    <w:rsid w:val="038500F8"/>
    <w:rsid w:val="03CC5ECA"/>
    <w:rsid w:val="042A0462"/>
    <w:rsid w:val="048E7480"/>
    <w:rsid w:val="04AA4233"/>
    <w:rsid w:val="04C44C50"/>
    <w:rsid w:val="04EE14A4"/>
    <w:rsid w:val="072B6851"/>
    <w:rsid w:val="079600FE"/>
    <w:rsid w:val="07BF12C2"/>
    <w:rsid w:val="08DF64FD"/>
    <w:rsid w:val="096C642B"/>
    <w:rsid w:val="09A824A0"/>
    <w:rsid w:val="0A2574B3"/>
    <w:rsid w:val="0A4444E4"/>
    <w:rsid w:val="0A4D7496"/>
    <w:rsid w:val="0A5151D8"/>
    <w:rsid w:val="0A575703"/>
    <w:rsid w:val="0AB27037"/>
    <w:rsid w:val="0AF7560D"/>
    <w:rsid w:val="0BC301D9"/>
    <w:rsid w:val="0BED05DB"/>
    <w:rsid w:val="0C762CD4"/>
    <w:rsid w:val="0CEC69C1"/>
    <w:rsid w:val="0CF956B3"/>
    <w:rsid w:val="0D154302"/>
    <w:rsid w:val="0D1D7190"/>
    <w:rsid w:val="0D4E1C68"/>
    <w:rsid w:val="0D935B07"/>
    <w:rsid w:val="0DB34DC5"/>
    <w:rsid w:val="0E224840"/>
    <w:rsid w:val="0E807E3A"/>
    <w:rsid w:val="0F9C62AB"/>
    <w:rsid w:val="0FF30ADF"/>
    <w:rsid w:val="10360A28"/>
    <w:rsid w:val="105B53E4"/>
    <w:rsid w:val="109A074C"/>
    <w:rsid w:val="10A4325A"/>
    <w:rsid w:val="114C5FF1"/>
    <w:rsid w:val="118123DB"/>
    <w:rsid w:val="118D31D7"/>
    <w:rsid w:val="119B5D70"/>
    <w:rsid w:val="1220184D"/>
    <w:rsid w:val="1270704D"/>
    <w:rsid w:val="12876C72"/>
    <w:rsid w:val="128D65FD"/>
    <w:rsid w:val="129F4319"/>
    <w:rsid w:val="12B26A30"/>
    <w:rsid w:val="12EC7C9C"/>
    <w:rsid w:val="13B65166"/>
    <w:rsid w:val="13C13135"/>
    <w:rsid w:val="13FD7AD9"/>
    <w:rsid w:val="140F3276"/>
    <w:rsid w:val="14193B86"/>
    <w:rsid w:val="141D5E0F"/>
    <w:rsid w:val="144F4060"/>
    <w:rsid w:val="14D26837"/>
    <w:rsid w:val="16CC1E75"/>
    <w:rsid w:val="17400225"/>
    <w:rsid w:val="17AA4179"/>
    <w:rsid w:val="189F1804"/>
    <w:rsid w:val="18EA696C"/>
    <w:rsid w:val="19166537"/>
    <w:rsid w:val="19525097"/>
    <w:rsid w:val="19AA0FA9"/>
    <w:rsid w:val="19B418B8"/>
    <w:rsid w:val="1A880997"/>
    <w:rsid w:val="1A8B2040"/>
    <w:rsid w:val="1A9502B8"/>
    <w:rsid w:val="1AB374E2"/>
    <w:rsid w:val="1B784A1C"/>
    <w:rsid w:val="1BB27180"/>
    <w:rsid w:val="1D537C04"/>
    <w:rsid w:val="20497803"/>
    <w:rsid w:val="21AD2926"/>
    <w:rsid w:val="22FD1376"/>
    <w:rsid w:val="233649D3"/>
    <w:rsid w:val="237613B4"/>
    <w:rsid w:val="242A28CA"/>
    <w:rsid w:val="253D7326"/>
    <w:rsid w:val="25621510"/>
    <w:rsid w:val="2585551C"/>
    <w:rsid w:val="263E265D"/>
    <w:rsid w:val="27AE16A9"/>
    <w:rsid w:val="2889433C"/>
    <w:rsid w:val="28E374EB"/>
    <w:rsid w:val="29496ECC"/>
    <w:rsid w:val="29A30860"/>
    <w:rsid w:val="2AE333EA"/>
    <w:rsid w:val="2B9B2B99"/>
    <w:rsid w:val="2D3D5B48"/>
    <w:rsid w:val="2D581074"/>
    <w:rsid w:val="2DF36570"/>
    <w:rsid w:val="2E1606DB"/>
    <w:rsid w:val="2E2831C7"/>
    <w:rsid w:val="2F0C4ABE"/>
    <w:rsid w:val="2FB461D1"/>
    <w:rsid w:val="2FC17A65"/>
    <w:rsid w:val="2FEA0C29"/>
    <w:rsid w:val="3061222A"/>
    <w:rsid w:val="308D1737"/>
    <w:rsid w:val="3106021B"/>
    <w:rsid w:val="320C542C"/>
    <w:rsid w:val="322936D7"/>
    <w:rsid w:val="330F332F"/>
    <w:rsid w:val="344B7ED9"/>
    <w:rsid w:val="34666505"/>
    <w:rsid w:val="350F0F1C"/>
    <w:rsid w:val="3522139B"/>
    <w:rsid w:val="35C441A4"/>
    <w:rsid w:val="36992FA1"/>
    <w:rsid w:val="36DD0212"/>
    <w:rsid w:val="374E0226"/>
    <w:rsid w:val="37645B6D"/>
    <w:rsid w:val="37BC7885"/>
    <w:rsid w:val="38184717"/>
    <w:rsid w:val="38C67D33"/>
    <w:rsid w:val="3AA472C4"/>
    <w:rsid w:val="3B674E03"/>
    <w:rsid w:val="3B691AD2"/>
    <w:rsid w:val="3BDD02C5"/>
    <w:rsid w:val="3D56682D"/>
    <w:rsid w:val="3DD34EFD"/>
    <w:rsid w:val="3E4458D5"/>
    <w:rsid w:val="3EA62CD7"/>
    <w:rsid w:val="3EBD28FC"/>
    <w:rsid w:val="3EF40857"/>
    <w:rsid w:val="3F112386"/>
    <w:rsid w:val="3FC6532D"/>
    <w:rsid w:val="406903B9"/>
    <w:rsid w:val="408A636F"/>
    <w:rsid w:val="408F05F9"/>
    <w:rsid w:val="40980F08"/>
    <w:rsid w:val="40F46821"/>
    <w:rsid w:val="42B837E0"/>
    <w:rsid w:val="43B3461E"/>
    <w:rsid w:val="4407646B"/>
    <w:rsid w:val="445B4DB6"/>
    <w:rsid w:val="44996E9A"/>
    <w:rsid w:val="44C147DB"/>
    <w:rsid w:val="44DE6309"/>
    <w:rsid w:val="45282005"/>
    <w:rsid w:val="46AD3081"/>
    <w:rsid w:val="470B7EE1"/>
    <w:rsid w:val="48C93947"/>
    <w:rsid w:val="48DF209C"/>
    <w:rsid w:val="493A36B0"/>
    <w:rsid w:val="4AA80B2F"/>
    <w:rsid w:val="4AF22A01"/>
    <w:rsid w:val="4B400582"/>
    <w:rsid w:val="4C721BF8"/>
    <w:rsid w:val="4C850C19"/>
    <w:rsid w:val="4CD51C9D"/>
    <w:rsid w:val="50F54C60"/>
    <w:rsid w:val="51360F4D"/>
    <w:rsid w:val="513769CE"/>
    <w:rsid w:val="51BD0E26"/>
    <w:rsid w:val="52756B57"/>
    <w:rsid w:val="535B75CD"/>
    <w:rsid w:val="538C1421"/>
    <w:rsid w:val="538D6EA3"/>
    <w:rsid w:val="53BC636D"/>
    <w:rsid w:val="55466588"/>
    <w:rsid w:val="5617654C"/>
    <w:rsid w:val="57A411D6"/>
    <w:rsid w:val="5805272B"/>
    <w:rsid w:val="582726A1"/>
    <w:rsid w:val="59E73D0F"/>
    <w:rsid w:val="59EC76FE"/>
    <w:rsid w:val="5A425322"/>
    <w:rsid w:val="5A4675AB"/>
    <w:rsid w:val="5A501A8A"/>
    <w:rsid w:val="5A897C95"/>
    <w:rsid w:val="5C7B120D"/>
    <w:rsid w:val="5C867ADA"/>
    <w:rsid w:val="5D6972B8"/>
    <w:rsid w:val="5D7533FD"/>
    <w:rsid w:val="5ED8702A"/>
    <w:rsid w:val="61730D12"/>
    <w:rsid w:val="61996BAE"/>
    <w:rsid w:val="625A33E9"/>
    <w:rsid w:val="625D436D"/>
    <w:rsid w:val="63FF2724"/>
    <w:rsid w:val="64D7563A"/>
    <w:rsid w:val="65000502"/>
    <w:rsid w:val="657D3011"/>
    <w:rsid w:val="65806194"/>
    <w:rsid w:val="65CC5377"/>
    <w:rsid w:val="66F50139"/>
    <w:rsid w:val="67A13C10"/>
    <w:rsid w:val="67A24F14"/>
    <w:rsid w:val="685D7846"/>
    <w:rsid w:val="690310F5"/>
    <w:rsid w:val="691B0EFE"/>
    <w:rsid w:val="6983542A"/>
    <w:rsid w:val="6A334ED5"/>
    <w:rsid w:val="6A500C38"/>
    <w:rsid w:val="6A584189"/>
    <w:rsid w:val="6A6D289F"/>
    <w:rsid w:val="6A942CE9"/>
    <w:rsid w:val="6AF44007"/>
    <w:rsid w:val="6B873576"/>
    <w:rsid w:val="6CEB1A97"/>
    <w:rsid w:val="6D170809"/>
    <w:rsid w:val="6DD61B41"/>
    <w:rsid w:val="6DF4388B"/>
    <w:rsid w:val="6E4965FC"/>
    <w:rsid w:val="6FA8783E"/>
    <w:rsid w:val="70100167"/>
    <w:rsid w:val="714B246D"/>
    <w:rsid w:val="717A2FBC"/>
    <w:rsid w:val="718E1C5D"/>
    <w:rsid w:val="720F536D"/>
    <w:rsid w:val="73727874"/>
    <w:rsid w:val="73FE4ED9"/>
    <w:rsid w:val="74027162"/>
    <w:rsid w:val="748E25CA"/>
    <w:rsid w:val="74AF2AFE"/>
    <w:rsid w:val="75D94B83"/>
    <w:rsid w:val="76446418"/>
    <w:rsid w:val="7646191B"/>
    <w:rsid w:val="76764668"/>
    <w:rsid w:val="77334A1B"/>
    <w:rsid w:val="788F055B"/>
    <w:rsid w:val="78B26191"/>
    <w:rsid w:val="792C6AE2"/>
    <w:rsid w:val="795821A2"/>
    <w:rsid w:val="795934A7"/>
    <w:rsid w:val="7BFD4E3C"/>
    <w:rsid w:val="7C57180B"/>
    <w:rsid w:val="7C62561D"/>
    <w:rsid w:val="7CC321BF"/>
    <w:rsid w:val="7D2F59D0"/>
    <w:rsid w:val="7ED10C1A"/>
    <w:rsid w:val="7F066EF6"/>
    <w:rsid w:val="7F0F1D84"/>
    <w:rsid w:val="7F7207A3"/>
    <w:rsid w:val="7F8B38CC"/>
    <w:rsid w:val="7FC811B2"/>
    <w:rsid w:val="B67F3CC1"/>
    <w:rsid w:val="C5BE1D45"/>
    <w:rsid w:val="E52F10C4"/>
    <w:rsid w:val="FF8B16A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semiHidden="0"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29"/>
    <w:qFormat/>
    <w:uiPriority w:val="9"/>
    <w:pPr>
      <w:keepNext/>
      <w:keepLines/>
      <w:spacing w:before="340" w:after="330" w:line="578" w:lineRule="auto"/>
      <w:outlineLvl w:val="0"/>
    </w:pPr>
    <w:rPr>
      <w:rFonts w:cs="Times New Roman"/>
      <w:b/>
      <w:bCs/>
      <w:kern w:val="44"/>
      <w:sz w:val="44"/>
      <w:szCs w:val="44"/>
    </w:rPr>
  </w:style>
  <w:style w:type="character" w:default="1" w:styleId="24">
    <w:name w:val="Default Paragraph Font"/>
    <w:unhideWhenUsed/>
    <w:uiPriority w:val="1"/>
  </w:style>
  <w:style w:type="table" w:default="1" w:styleId="22">
    <w:name w:val="Normal Table"/>
    <w:unhideWhenUsed/>
    <w:qFormat/>
    <w:uiPriority w:val="99"/>
    <w:tblPr>
      <w:tblCellMar>
        <w:top w:w="0" w:type="dxa"/>
        <w:left w:w="108" w:type="dxa"/>
        <w:bottom w:w="0" w:type="dxa"/>
        <w:right w:w="108" w:type="dxa"/>
      </w:tblCellMar>
    </w:tblPr>
  </w:style>
  <w:style w:type="paragraph" w:styleId="3">
    <w:name w:val="toc 7"/>
    <w:basedOn w:val="1"/>
    <w:next w:val="1"/>
    <w:unhideWhenUsed/>
    <w:qFormat/>
    <w:uiPriority w:val="39"/>
    <w:pPr>
      <w:widowControl w:val="0"/>
      <w:ind w:left="2520" w:leftChars="1200"/>
      <w:jc w:val="both"/>
    </w:pPr>
    <w:rPr>
      <w:rFonts w:ascii="Calibri" w:hAnsi="Calibri" w:eastAsia="宋体" w:cs="Times New Roman"/>
      <w:kern w:val="2"/>
      <w:sz w:val="21"/>
      <w:szCs w:val="22"/>
    </w:rPr>
  </w:style>
  <w:style w:type="paragraph" w:styleId="4">
    <w:name w:val="Document Map"/>
    <w:basedOn w:val="1"/>
    <w:link w:val="30"/>
    <w:unhideWhenUsed/>
    <w:qFormat/>
    <w:uiPriority w:val="99"/>
    <w:rPr>
      <w:rFonts w:cs="Times New Roman"/>
      <w:sz w:val="18"/>
      <w:szCs w:val="18"/>
    </w:rPr>
  </w:style>
  <w:style w:type="paragraph" w:styleId="5">
    <w:name w:val="annotation text"/>
    <w:basedOn w:val="1"/>
    <w:link w:val="31"/>
    <w:unhideWhenUsed/>
    <w:qFormat/>
    <w:uiPriority w:val="99"/>
    <w:rPr>
      <w:rFonts w:cs="Times New Roman"/>
    </w:rPr>
  </w:style>
  <w:style w:type="paragraph" w:styleId="6">
    <w:name w:val="toc 5"/>
    <w:basedOn w:val="1"/>
    <w:next w:val="1"/>
    <w:qFormat/>
    <w:uiPriority w:val="39"/>
    <w:pPr>
      <w:widowControl w:val="0"/>
      <w:tabs>
        <w:tab w:val="right" w:leader="dot" w:pos="8296"/>
      </w:tabs>
      <w:ind w:left="1050" w:leftChars="500"/>
      <w:jc w:val="both"/>
    </w:pPr>
    <w:rPr>
      <w:rFonts w:ascii="Calibri" w:hAnsi="Calibri" w:cs="Times New Roman"/>
      <w:kern w:val="2"/>
      <w:sz w:val="21"/>
      <w:szCs w:val="22"/>
    </w:rPr>
  </w:style>
  <w:style w:type="paragraph" w:styleId="7">
    <w:name w:val="toc 3"/>
    <w:basedOn w:val="1"/>
    <w:next w:val="1"/>
    <w:qFormat/>
    <w:uiPriority w:val="39"/>
    <w:pPr>
      <w:widowControl w:val="0"/>
      <w:ind w:left="840" w:leftChars="400"/>
      <w:jc w:val="both"/>
    </w:pPr>
    <w:rPr>
      <w:rFonts w:ascii="Calibri" w:hAnsi="Calibri" w:cs="Times New Roman"/>
      <w:kern w:val="2"/>
      <w:sz w:val="21"/>
      <w:szCs w:val="22"/>
    </w:rPr>
  </w:style>
  <w:style w:type="paragraph" w:styleId="8">
    <w:name w:val="toc 8"/>
    <w:basedOn w:val="1"/>
    <w:next w:val="1"/>
    <w:unhideWhenUsed/>
    <w:qFormat/>
    <w:uiPriority w:val="39"/>
    <w:pPr>
      <w:widowControl w:val="0"/>
      <w:ind w:left="2940" w:leftChars="1400"/>
      <w:jc w:val="both"/>
    </w:pPr>
    <w:rPr>
      <w:rFonts w:ascii="Calibri" w:hAnsi="Calibri" w:eastAsia="宋体" w:cs="Times New Roman"/>
      <w:kern w:val="2"/>
      <w:sz w:val="21"/>
      <w:szCs w:val="22"/>
    </w:rPr>
  </w:style>
  <w:style w:type="paragraph" w:styleId="9">
    <w:name w:val="Date"/>
    <w:basedOn w:val="1"/>
    <w:next w:val="1"/>
    <w:link w:val="32"/>
    <w:unhideWhenUsed/>
    <w:qFormat/>
    <w:uiPriority w:val="99"/>
    <w:pPr>
      <w:ind w:left="100" w:leftChars="2500"/>
    </w:pPr>
    <w:rPr>
      <w:rFonts w:cs="Times New Roman"/>
    </w:rPr>
  </w:style>
  <w:style w:type="paragraph" w:styleId="10">
    <w:name w:val="Balloon Text"/>
    <w:basedOn w:val="1"/>
    <w:link w:val="33"/>
    <w:unhideWhenUsed/>
    <w:qFormat/>
    <w:uiPriority w:val="99"/>
    <w:rPr>
      <w:rFonts w:cs="Times New Roman"/>
      <w:sz w:val="18"/>
      <w:szCs w:val="18"/>
    </w:rPr>
  </w:style>
  <w:style w:type="paragraph" w:styleId="11">
    <w:name w:val="footer"/>
    <w:basedOn w:val="1"/>
    <w:link w:val="34"/>
    <w:unhideWhenUsed/>
    <w:qFormat/>
    <w:uiPriority w:val="0"/>
    <w:pPr>
      <w:tabs>
        <w:tab w:val="center" w:pos="4153"/>
        <w:tab w:val="right" w:pos="8306"/>
      </w:tabs>
      <w:snapToGrid w:val="0"/>
    </w:pPr>
    <w:rPr>
      <w:rFonts w:cs="Times New Roman"/>
      <w:sz w:val="18"/>
      <w:szCs w:val="18"/>
    </w:rPr>
  </w:style>
  <w:style w:type="paragraph" w:styleId="12">
    <w:name w:val="header"/>
    <w:basedOn w:val="1"/>
    <w:link w:val="35"/>
    <w:unhideWhenUsed/>
    <w:qFormat/>
    <w:uiPriority w:val="99"/>
    <w:pPr>
      <w:pBdr>
        <w:bottom w:val="single" w:color="auto" w:sz="6" w:space="1"/>
      </w:pBdr>
      <w:tabs>
        <w:tab w:val="center" w:pos="4153"/>
        <w:tab w:val="right" w:pos="8306"/>
      </w:tabs>
      <w:snapToGrid w:val="0"/>
      <w:jc w:val="center"/>
    </w:pPr>
    <w:rPr>
      <w:rFonts w:cs="Times New Roman"/>
      <w:sz w:val="18"/>
      <w:szCs w:val="18"/>
    </w:rPr>
  </w:style>
  <w:style w:type="paragraph" w:styleId="13">
    <w:name w:val="toc 1"/>
    <w:basedOn w:val="1"/>
    <w:next w:val="1"/>
    <w:unhideWhenUsed/>
    <w:qFormat/>
    <w:uiPriority w:val="39"/>
    <w:rPr>
      <w:rFonts w:eastAsia="黑体"/>
      <w:sz w:val="28"/>
    </w:rPr>
  </w:style>
  <w:style w:type="paragraph" w:styleId="14">
    <w:name w:val="toc 4"/>
    <w:basedOn w:val="1"/>
    <w:next w:val="1"/>
    <w:qFormat/>
    <w:uiPriority w:val="39"/>
    <w:pPr>
      <w:widowControl w:val="0"/>
      <w:tabs>
        <w:tab w:val="left" w:pos="1890"/>
        <w:tab w:val="right" w:leader="dot" w:pos="8296"/>
      </w:tabs>
      <w:ind w:left="630" w:leftChars="300"/>
      <w:jc w:val="both"/>
    </w:pPr>
    <w:rPr>
      <w:rFonts w:ascii="Calibri" w:hAnsi="Calibri" w:cs="Times New Roman"/>
      <w:kern w:val="2"/>
      <w:sz w:val="21"/>
      <w:szCs w:val="22"/>
    </w:rPr>
  </w:style>
  <w:style w:type="paragraph" w:styleId="15">
    <w:name w:val="Subtitle"/>
    <w:basedOn w:val="1"/>
    <w:next w:val="1"/>
    <w:link w:val="36"/>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6">
    <w:name w:val="toc 6"/>
    <w:basedOn w:val="1"/>
    <w:next w:val="1"/>
    <w:unhideWhenUsed/>
    <w:qFormat/>
    <w:uiPriority w:val="39"/>
    <w:pPr>
      <w:widowControl w:val="0"/>
      <w:ind w:left="2100" w:leftChars="1000"/>
      <w:jc w:val="both"/>
    </w:pPr>
    <w:rPr>
      <w:rFonts w:ascii="Calibri" w:hAnsi="Calibri" w:eastAsia="宋体" w:cs="Times New Roman"/>
      <w:kern w:val="2"/>
      <w:sz w:val="21"/>
      <w:szCs w:val="22"/>
    </w:rPr>
  </w:style>
  <w:style w:type="paragraph" w:styleId="17">
    <w:name w:val="toc 2"/>
    <w:basedOn w:val="1"/>
    <w:next w:val="1"/>
    <w:unhideWhenUsed/>
    <w:qFormat/>
    <w:uiPriority w:val="39"/>
    <w:pPr>
      <w:ind w:left="420" w:leftChars="200"/>
    </w:pPr>
  </w:style>
  <w:style w:type="paragraph" w:styleId="18">
    <w:name w:val="toc 9"/>
    <w:basedOn w:val="1"/>
    <w:next w:val="1"/>
    <w:unhideWhenUsed/>
    <w:qFormat/>
    <w:uiPriority w:val="39"/>
    <w:pPr>
      <w:widowControl w:val="0"/>
      <w:ind w:left="3360" w:leftChars="1600"/>
      <w:jc w:val="both"/>
    </w:pPr>
    <w:rPr>
      <w:rFonts w:ascii="Calibri" w:hAnsi="Calibri" w:eastAsia="宋体" w:cs="Times New Roman"/>
      <w:kern w:val="2"/>
      <w:sz w:val="21"/>
      <w:szCs w:val="22"/>
    </w:rPr>
  </w:style>
  <w:style w:type="paragraph" w:styleId="19">
    <w:name w:val="Normal (Web)"/>
    <w:basedOn w:val="1"/>
    <w:unhideWhenUsed/>
    <w:qFormat/>
    <w:uiPriority w:val="99"/>
    <w:pPr>
      <w:spacing w:before="100" w:beforeLines="0" w:beforeAutospacing="1" w:after="100" w:afterLines="0" w:afterAutospacing="1"/>
    </w:pPr>
  </w:style>
  <w:style w:type="paragraph" w:styleId="20">
    <w:name w:val="Title"/>
    <w:basedOn w:val="1"/>
    <w:next w:val="1"/>
    <w:link w:val="37"/>
    <w:qFormat/>
    <w:uiPriority w:val="10"/>
    <w:pPr>
      <w:spacing w:before="60" w:after="60"/>
      <w:jc w:val="center"/>
      <w:outlineLvl w:val="0"/>
    </w:pPr>
    <w:rPr>
      <w:rFonts w:ascii="Cambria" w:hAnsi="Cambria" w:cs="Times New Roman"/>
      <w:b/>
      <w:bCs/>
      <w:szCs w:val="32"/>
    </w:rPr>
  </w:style>
  <w:style w:type="paragraph" w:styleId="21">
    <w:name w:val="annotation subject"/>
    <w:basedOn w:val="5"/>
    <w:next w:val="5"/>
    <w:link w:val="38"/>
    <w:unhideWhenUsed/>
    <w:qFormat/>
    <w:uiPriority w:val="99"/>
    <w:rPr>
      <w:b/>
      <w:bCs/>
    </w:rPr>
  </w:style>
  <w:style w:type="table" w:styleId="23">
    <w:name w:val="Table Grid"/>
    <w:basedOn w:val="22"/>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unhideWhenUsed/>
    <w:qFormat/>
    <w:uiPriority w:val="99"/>
  </w:style>
  <w:style w:type="character" w:styleId="26">
    <w:name w:val="FollowedHyperlink"/>
    <w:unhideWhenUsed/>
    <w:qFormat/>
    <w:uiPriority w:val="99"/>
    <w:rPr>
      <w:color w:val="800080"/>
      <w:u w:val="single"/>
    </w:rPr>
  </w:style>
  <w:style w:type="character" w:styleId="27">
    <w:name w:val="Hyperlink"/>
    <w:unhideWhenUsed/>
    <w:qFormat/>
    <w:uiPriority w:val="99"/>
    <w:rPr>
      <w:color w:val="0000FF"/>
      <w:u w:val="single"/>
    </w:rPr>
  </w:style>
  <w:style w:type="character" w:styleId="28">
    <w:name w:val="annotation reference"/>
    <w:unhideWhenUsed/>
    <w:qFormat/>
    <w:uiPriority w:val="99"/>
    <w:rPr>
      <w:sz w:val="21"/>
      <w:szCs w:val="21"/>
    </w:rPr>
  </w:style>
  <w:style w:type="character" w:customStyle="1" w:styleId="29">
    <w:name w:val="标题 1 字符"/>
    <w:link w:val="2"/>
    <w:qFormat/>
    <w:uiPriority w:val="9"/>
    <w:rPr>
      <w:rFonts w:ascii="宋体" w:hAnsi="宋体" w:cs="宋体"/>
      <w:b/>
      <w:bCs/>
      <w:kern w:val="44"/>
      <w:sz w:val="44"/>
      <w:szCs w:val="44"/>
    </w:rPr>
  </w:style>
  <w:style w:type="character" w:customStyle="1" w:styleId="30">
    <w:name w:val="文档结构图 字符"/>
    <w:link w:val="4"/>
    <w:semiHidden/>
    <w:qFormat/>
    <w:uiPriority w:val="99"/>
    <w:rPr>
      <w:rFonts w:ascii="宋体" w:hAnsi="宋体" w:cs="宋体"/>
      <w:sz w:val="18"/>
      <w:szCs w:val="18"/>
    </w:rPr>
  </w:style>
  <w:style w:type="character" w:customStyle="1" w:styleId="31">
    <w:name w:val="批注文字 字符"/>
    <w:link w:val="5"/>
    <w:semiHidden/>
    <w:qFormat/>
    <w:uiPriority w:val="99"/>
    <w:rPr>
      <w:rFonts w:ascii="宋体" w:hAnsi="宋体" w:cs="宋体"/>
      <w:sz w:val="24"/>
      <w:szCs w:val="24"/>
    </w:rPr>
  </w:style>
  <w:style w:type="character" w:customStyle="1" w:styleId="32">
    <w:name w:val="日期 字符"/>
    <w:link w:val="9"/>
    <w:semiHidden/>
    <w:qFormat/>
    <w:uiPriority w:val="99"/>
    <w:rPr>
      <w:rFonts w:ascii="宋体" w:hAnsi="宋体" w:cs="宋体"/>
      <w:sz w:val="24"/>
      <w:szCs w:val="24"/>
    </w:rPr>
  </w:style>
  <w:style w:type="character" w:customStyle="1" w:styleId="33">
    <w:name w:val="批注框文本 字符"/>
    <w:link w:val="10"/>
    <w:semiHidden/>
    <w:qFormat/>
    <w:uiPriority w:val="99"/>
    <w:rPr>
      <w:rFonts w:ascii="宋体" w:hAnsi="宋体" w:cs="宋体"/>
      <w:sz w:val="18"/>
      <w:szCs w:val="18"/>
    </w:rPr>
  </w:style>
  <w:style w:type="character" w:customStyle="1" w:styleId="34">
    <w:name w:val="页脚 字符"/>
    <w:link w:val="11"/>
    <w:qFormat/>
    <w:uiPriority w:val="0"/>
    <w:rPr>
      <w:rFonts w:ascii="宋体" w:hAnsi="宋体" w:eastAsia="宋体" w:cs="宋体"/>
      <w:sz w:val="18"/>
      <w:szCs w:val="18"/>
    </w:rPr>
  </w:style>
  <w:style w:type="character" w:customStyle="1" w:styleId="35">
    <w:name w:val="页眉 字符1"/>
    <w:link w:val="12"/>
    <w:semiHidden/>
    <w:qFormat/>
    <w:uiPriority w:val="99"/>
    <w:rPr>
      <w:rFonts w:ascii="宋体" w:hAnsi="宋体" w:eastAsia="宋体" w:cs="宋体"/>
      <w:sz w:val="18"/>
      <w:szCs w:val="18"/>
    </w:rPr>
  </w:style>
  <w:style w:type="character" w:customStyle="1" w:styleId="36">
    <w:name w:val="副标题 字符"/>
    <w:link w:val="15"/>
    <w:qFormat/>
    <w:uiPriority w:val="11"/>
    <w:rPr>
      <w:rFonts w:ascii="Calibri Light" w:hAnsi="Calibri Light" w:cs="Times New Roman"/>
      <w:b/>
      <w:bCs/>
      <w:kern w:val="28"/>
      <w:sz w:val="32"/>
      <w:szCs w:val="32"/>
    </w:rPr>
  </w:style>
  <w:style w:type="character" w:customStyle="1" w:styleId="37">
    <w:name w:val="标题 字符"/>
    <w:link w:val="20"/>
    <w:qFormat/>
    <w:uiPriority w:val="10"/>
    <w:rPr>
      <w:rFonts w:ascii="Cambria" w:hAnsi="Cambria"/>
      <w:b/>
      <w:bCs/>
      <w:sz w:val="24"/>
      <w:szCs w:val="32"/>
    </w:rPr>
  </w:style>
  <w:style w:type="character" w:customStyle="1" w:styleId="38">
    <w:name w:val="批注主题 字符"/>
    <w:link w:val="21"/>
    <w:semiHidden/>
    <w:qFormat/>
    <w:uiPriority w:val="99"/>
    <w:rPr>
      <w:rFonts w:ascii="宋体" w:hAnsi="宋体" w:cs="宋体"/>
      <w:b/>
      <w:bCs/>
      <w:sz w:val="24"/>
      <w:szCs w:val="24"/>
    </w:rPr>
  </w:style>
  <w:style w:type="character" w:customStyle="1" w:styleId="39">
    <w:name w:val="15"/>
    <w:qFormat/>
    <w:uiPriority w:val="0"/>
    <w:rPr>
      <w:rFonts w:hint="default" w:ascii="Times New Roman" w:hAnsi="Times New Roman" w:cs="Times New Roman"/>
      <w:color w:val="464445"/>
      <w:u w:val="none"/>
    </w:rPr>
  </w:style>
  <w:style w:type="paragraph" w:customStyle="1" w:styleId="40">
    <w:name w:val="stitle"/>
    <w:basedOn w:val="1"/>
    <w:qFormat/>
    <w:uiPriority w:val="0"/>
    <w:pPr>
      <w:spacing w:before="100" w:beforeLines="0" w:beforeAutospacing="1" w:after="100" w:afterLines="0" w:afterAutospacing="1"/>
    </w:pPr>
    <w:rPr>
      <w:smallCaps/>
      <w:color w:val="000000"/>
      <w:sz w:val="20"/>
      <w:szCs w:val="20"/>
    </w:rPr>
  </w:style>
  <w:style w:type="paragraph" w:customStyle="1" w:styleId="41">
    <w:name w:val="zhang"/>
    <w:basedOn w:val="1"/>
    <w:qFormat/>
    <w:uiPriority w:val="0"/>
    <w:pPr>
      <w:spacing w:before="100" w:beforeLines="0" w:beforeAutospacing="1" w:after="100" w:afterLines="0" w:afterAutospacing="1"/>
    </w:pPr>
    <w:rPr>
      <w:b/>
      <w:bCs/>
      <w:smallCaps/>
      <w:color w:val="000000"/>
      <w:sz w:val="20"/>
      <w:szCs w:val="20"/>
    </w:rPr>
  </w:style>
  <w:style w:type="paragraph" w:customStyle="1" w:styleId="42">
    <w:name w:val="tiao"/>
    <w:basedOn w:val="1"/>
    <w:qFormat/>
    <w:uiPriority w:val="0"/>
    <w:pPr>
      <w:shd w:val="clear" w:color="auto" w:fill="AFEEEE"/>
      <w:spacing w:before="100" w:beforeLines="0" w:beforeAutospacing="1" w:after="100" w:afterLines="0" w:afterAutospacing="1"/>
    </w:pPr>
    <w:rPr>
      <w:i/>
      <w:iCs/>
      <w:smallCaps/>
      <w:color w:val="6600CC"/>
      <w:sz w:val="20"/>
      <w:szCs w:val="20"/>
    </w:rPr>
  </w:style>
  <w:style w:type="paragraph" w:customStyle="1" w:styleId="43">
    <w:name w:val="content"/>
    <w:basedOn w:val="1"/>
    <w:qFormat/>
    <w:uiPriority w:val="0"/>
    <w:pPr>
      <w:spacing w:before="100" w:beforeLines="0" w:beforeAutospacing="1" w:after="100" w:afterLines="0" w:afterAutospacing="1" w:line="384" w:lineRule="auto"/>
    </w:pPr>
    <w:rPr>
      <w:sz w:val="18"/>
      <w:szCs w:val="18"/>
    </w:rPr>
  </w:style>
  <w:style w:type="paragraph" w:customStyle="1" w:styleId="44">
    <w:name w:val="mtitle"/>
    <w:basedOn w:val="1"/>
    <w:qFormat/>
    <w:uiPriority w:val="0"/>
    <w:pPr>
      <w:spacing w:before="100" w:beforeLines="0" w:beforeAutospacing="1" w:after="100" w:afterLines="0" w:afterAutospacing="1" w:line="336" w:lineRule="auto"/>
    </w:pPr>
    <w:rPr>
      <w:b/>
      <w:bCs/>
      <w:smallCaps/>
      <w:color w:val="000000"/>
      <w:sz w:val="20"/>
      <w:szCs w:val="20"/>
    </w:rPr>
  </w:style>
  <w:style w:type="paragraph" w:customStyle="1" w:styleId="45">
    <w:name w:val="mnotes"/>
    <w:basedOn w:val="1"/>
    <w:qFormat/>
    <w:uiPriority w:val="0"/>
    <w:pPr>
      <w:shd w:val="clear" w:color="auto" w:fill="AFEEEE"/>
      <w:spacing w:before="100" w:beforeLines="0" w:beforeAutospacing="1" w:after="100" w:afterLines="0" w:afterAutospacing="1" w:line="336" w:lineRule="auto"/>
    </w:pPr>
    <w:rPr>
      <w:smallCaps/>
      <w:color w:val="008080"/>
      <w:sz w:val="20"/>
      <w:szCs w:val="20"/>
    </w:rPr>
  </w:style>
  <w:style w:type="paragraph" w:customStyle="1" w:styleId="46">
    <w:name w:val="p17"/>
    <w:basedOn w:val="1"/>
    <w:qFormat/>
    <w:uiPriority w:val="0"/>
    <w:pPr>
      <w:jc w:val="both"/>
    </w:pPr>
    <w:rPr>
      <w:rFonts w:ascii="Times New Roman" w:hAnsi="Times New Roman" w:cs="Times New Roman"/>
      <w:sz w:val="21"/>
      <w:szCs w:val="21"/>
    </w:rPr>
  </w:style>
  <w:style w:type="paragraph" w:customStyle="1" w:styleId="47">
    <w:name w:val="tiaonoa"/>
    <w:basedOn w:val="1"/>
    <w:qFormat/>
    <w:uiPriority w:val="0"/>
    <w:pPr>
      <w:spacing w:before="100" w:beforeLines="0" w:beforeAutospacing="1" w:after="100" w:afterLines="0" w:afterAutospacing="1"/>
    </w:pPr>
    <w:rPr>
      <w:b/>
      <w:bCs/>
      <w:smallCaps/>
      <w:color w:val="000000"/>
      <w:sz w:val="18"/>
      <w:szCs w:val="18"/>
    </w:rPr>
  </w:style>
  <w:style w:type="paragraph" w:customStyle="1" w:styleId="48">
    <w:name w:val="p0"/>
    <w:basedOn w:val="1"/>
    <w:qFormat/>
    <w:uiPriority w:val="0"/>
    <w:pPr>
      <w:jc w:val="both"/>
    </w:pPr>
    <w:rPr>
      <w:rFonts w:ascii="Times New Roman" w:hAnsi="Times New Roman" w:cs="Times New Roman"/>
      <w:sz w:val="21"/>
      <w:szCs w:val="21"/>
    </w:rPr>
  </w:style>
  <w:style w:type="paragraph" w:customStyle="1" w:styleId="49">
    <w:name w:val="tiaoyin"/>
    <w:basedOn w:val="1"/>
    <w:qFormat/>
    <w:uiPriority w:val="0"/>
    <w:pPr>
      <w:spacing w:before="100" w:beforeLines="0" w:beforeAutospacing="1" w:after="100" w:afterLines="0" w:afterAutospacing="1"/>
    </w:pPr>
    <w:rPr>
      <w:smallCaps/>
      <w:color w:val="FF0000"/>
      <w:sz w:val="20"/>
      <w:szCs w:val="20"/>
    </w:rPr>
  </w:style>
  <w:style w:type="paragraph" w:customStyle="1" w:styleId="50">
    <w:name w:val="_Style 49"/>
    <w:basedOn w:val="2"/>
    <w:next w:val="1"/>
    <w:qFormat/>
    <w:uiPriority w:val="0"/>
    <w:pPr>
      <w:widowControl w:val="0"/>
      <w:spacing w:line="576" w:lineRule="auto"/>
      <w:jc w:val="both"/>
      <w:outlineLvl w:val="9"/>
    </w:pPr>
    <w:rPr>
      <w:rFonts w:ascii="Calibri" w:hAnsi="Calibri" w:cs="Times New Roman"/>
    </w:rPr>
  </w:style>
  <w:style w:type="character" w:customStyle="1" w:styleId="51">
    <w:name w:val="页眉 字符"/>
    <w:qFormat/>
    <w:uiPriority w:val="99"/>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3606</Words>
  <Characters>3887</Characters>
  <Lines>18</Lines>
  <Paragraphs>5</Paragraphs>
  <TotalTime>3</TotalTime>
  <ScaleCrop>false</ScaleCrop>
  <LinksUpToDate>false</LinksUpToDate>
  <CharactersWithSpaces>4109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2023-10-12T06:46:00Z</dcterms:created>
  <dc:creator>hp</dc:creator>
  <cp:lastModifiedBy>汪大大哥哥</cp:lastModifiedBy>
  <cp:lastPrinted>2024-05-16T02:27:00Z</cp:lastPrinted>
  <dcterms:modified xsi:type="dcterms:W3CDTF">2025-03-04T09:48:41Z</dcterms:modified>
  <dc:title>建设部、国家工商行政管理总局关于印发《建设工程造价咨询合同(示范文本)》的通知--北大法宝--北大法律信息网</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5BE8287A29EA4A3EA548FA7E3B6B17BD_13</vt:lpwstr>
  </property>
  <property fmtid="{D5CDD505-2E9C-101B-9397-08002B2CF9AE}" pid="4" name="KSOTemplateDocerSaveRecord">
    <vt:lpwstr>eyJoZGlkIjoiOTM5MjhmN2E0MjZjMjcyODlhNDBlYTIwNDlkZDBjMWMiLCJ1c2VySWQiOiIxMTcyMzQwNDExIn0=</vt:lpwstr>
  </property>
</Properties>
</file>