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  <w:szCs w:val="21"/>
        </w:rPr>
      </w:pPr>
    </w:p>
    <w:p>
      <w:pPr>
        <w:pStyle w:val="48"/>
        <w:widowControl/>
        <w:jc w:val="center"/>
        <w:rPr>
          <w:rFonts w:hint="eastAsia" w:ascii="黑体" w:hAnsi="黑体" w:eastAsia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kern w:val="0"/>
          <w:sz w:val="32"/>
          <w:szCs w:val="32"/>
          <w:lang w:val="en-US" w:eastAsia="zh-CN"/>
        </w:rPr>
        <w:t>工程量清单总说明</w:t>
      </w:r>
    </w:p>
    <w:p>
      <w:pPr>
        <w:spacing w:line="360" w:lineRule="auto"/>
        <w:jc w:val="center"/>
        <w:outlineLvl w:val="0"/>
        <w:rPr>
          <w:rFonts w:hint="eastAsia" w:ascii="方正小标宋简体" w:eastAsia="方正小标宋简体"/>
          <w:b/>
          <w:color w:val="FF0000"/>
          <w:sz w:val="28"/>
          <w:szCs w:val="28"/>
        </w:rPr>
      </w:pPr>
      <w:r>
        <w:rPr>
          <w:rFonts w:hint="eastAsia" w:ascii="方正小标宋简体" w:eastAsia="方正小标宋简体"/>
          <w:b/>
          <w:color w:val="FF0000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410" w:rightChars="171"/>
        <w:outlineLvl w:val="0"/>
        <w:rPr>
          <w:b/>
        </w:rPr>
      </w:pPr>
      <w:r>
        <w:rPr>
          <w:rFonts w:hint="eastAsia"/>
          <w:b/>
        </w:rPr>
        <w:t>工程概况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1.工程名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称：</w:t>
      </w:r>
      <w:bookmarkStart w:id="0" w:name="项目名称8"/>
      <w:r>
        <w:rPr>
          <w:rFonts w:hint="eastAsia" w:ascii="宋体" w:hAnsi="宋体"/>
          <w:kern w:val="0"/>
          <w:sz w:val="24"/>
          <w:szCs w:val="24"/>
          <w:lang w:val="en-US" w:eastAsia="zh-CN"/>
        </w:rPr>
        <w:t>桐庐县城乡污水管网一体化建设项目-集镇雨污水管网修复改造工程(飘鹰小区雨污分流提升改造)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                                             </w:t>
      </w:r>
      <w:bookmarkEnd w:id="0"/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2.建设单位：</w:t>
      </w:r>
      <w:bookmarkStart w:id="1" w:name="建设单位"/>
      <w:r>
        <w:rPr>
          <w:rFonts w:hint="eastAsia" w:ascii="宋体" w:hAnsi="宋体" w:cs="宋体"/>
          <w:kern w:val="2"/>
          <w:sz w:val="24"/>
        </w:rPr>
        <w:t>桐庐水务有限公司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 xml:space="preserve">                                              </w:t>
      </w:r>
      <w:bookmarkEnd w:id="1"/>
      <w:r>
        <w:rPr>
          <w:rFonts w:hint="eastAsia" w:ascii="宋体" w:hAnsi="宋体"/>
          <w:kern w:val="0"/>
          <w:sz w:val="24"/>
          <w:szCs w:val="24"/>
          <w:lang w:val="en-US" w:eastAsia="zh-CN"/>
        </w:rPr>
        <w:t xml:space="preserve"> 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 w:eastAsia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3.工程地点：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桐庐县凤川街道。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 w:eastAsia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4.工程规模及内容：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本工程</w:t>
      </w:r>
      <w:r>
        <w:rPr>
          <w:rFonts w:hint="eastAsia" w:ascii="宋体" w:hAnsi="宋体" w:eastAsia="宋体"/>
          <w:kern w:val="0"/>
          <w:sz w:val="24"/>
          <w:szCs w:val="24"/>
          <w:lang w:val="en-US" w:eastAsia="zh-CN"/>
        </w:rPr>
        <w:t>主要包括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阳台处排水管道和雨水管道重新接管，部分排水管道重新开挖更换，路面修复，新建隔油池</w:t>
      </w:r>
      <w:r>
        <w:rPr>
          <w:rFonts w:hint="eastAsia" w:ascii="宋体" w:hAnsi="宋体" w:eastAsia="宋体"/>
          <w:kern w:val="0"/>
          <w:sz w:val="24"/>
          <w:szCs w:val="24"/>
          <w:lang w:val="en-US" w:eastAsia="zh-CN"/>
        </w:rPr>
        <w:t>等施工项目。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 w:eastAsia="宋体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rFonts w:hint="eastAsia"/>
          <w:b/>
        </w:rPr>
      </w:pPr>
      <w:r>
        <w:rPr>
          <w:rFonts w:hint="eastAsia"/>
          <w:b/>
        </w:rPr>
        <w:t>工程招标范围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招标范围：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/>
          <w:kern w:val="0"/>
          <w:sz w:val="24"/>
          <w:szCs w:val="24"/>
        </w:rPr>
        <w:t>清单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及图纸所有</w:t>
      </w:r>
      <w:r>
        <w:rPr>
          <w:rFonts w:hint="eastAsia" w:ascii="宋体" w:hAnsi="宋体"/>
          <w:kern w:val="0"/>
          <w:sz w:val="24"/>
          <w:szCs w:val="24"/>
        </w:rPr>
        <w:t>内容。</w:t>
      </w:r>
    </w:p>
    <w:p>
      <w:pPr>
        <w:pStyle w:val="48"/>
        <w:widowControl/>
        <w:spacing w:line="500" w:lineRule="exact"/>
        <w:ind w:firstLine="482" w:firstLineChars="200"/>
        <w:rPr>
          <w:rFonts w:hint="eastAsia" w:ascii="宋体" w:hAnsi="宋体"/>
          <w:b/>
          <w:bCs/>
          <w:kern w:val="0"/>
          <w:sz w:val="24"/>
          <w:szCs w:val="24"/>
        </w:rPr>
      </w:pPr>
      <w:r>
        <w:rPr>
          <w:rFonts w:hint="eastAsia" w:ascii="宋体" w:hAnsi="宋体"/>
          <w:b/>
          <w:bCs/>
          <w:kern w:val="0"/>
          <w:sz w:val="24"/>
          <w:szCs w:val="24"/>
          <w:lang w:val="en-US" w:eastAsia="zh-CN"/>
        </w:rPr>
        <w:t>三、</w:t>
      </w:r>
      <w:r>
        <w:rPr>
          <w:rFonts w:hint="eastAsia" w:ascii="宋体" w:hAnsi="宋体"/>
          <w:b/>
          <w:bCs/>
          <w:kern w:val="0"/>
          <w:sz w:val="24"/>
          <w:szCs w:val="24"/>
        </w:rPr>
        <w:t>编制依据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left="0" w:leftChars="0"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《建设工程工程量清单计价规范》GB 50500-2013；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left="0" w:leftChars="0"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《浙江省建设工程工程计价规则》（2018版）；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left="0" w:leftChars="0"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《浙江省房屋建筑与装饰工程预算定额》（2018版）、《浙江省通用安装工程预算定额》（2018版）、《浙江省市政工程预算定额》（2018版）、《浙江省园林绿化及仿古建筑工程预算定额》（2018版）、《浙江省建设工程施工机械台班费用定额》（2018版）；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left="0" w:leftChars="0" w:firstLine="480" w:firstLineChars="200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《关于明确杭州市建筑施工领域安全生产责任保险费用计取的通知》（杭建工发〔2021〕384号）；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left="0" w:leftChars="0" w:firstLine="480" w:firstLineChars="200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《省建设厅关于调整建筑工程安全文明施工费的通知》（浙建建发〔2022〕37号）；</w:t>
      </w:r>
    </w:p>
    <w:p>
      <w:pPr>
        <w:numPr>
          <w:ilvl w:val="0"/>
          <w:numId w:val="2"/>
        </w:numPr>
        <w:ind w:left="0" w:leftChars="0" w:firstLine="480" w:firstLineChars="200"/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浙江润浩城市建设设计有限公司</w:t>
      </w:r>
      <w:r>
        <w:rPr>
          <w:rFonts w:hint="eastAsia"/>
          <w:kern w:val="0"/>
          <w:sz w:val="24"/>
          <w:szCs w:val="24"/>
          <w:lang w:val="en-US" w:eastAsia="zh-CN"/>
        </w:rPr>
        <w:t>出具的设计图纸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；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left="0" w:leftChars="0" w:firstLine="480" w:firstLineChars="200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  <w:highlight w:val="none"/>
          <w:lang w:val="en-US" w:eastAsia="zh-CN"/>
        </w:rPr>
        <w:t>经杭州智诚工程管理有限公司出</w:t>
      </w:r>
      <w:r>
        <w:rPr>
          <w:rFonts w:hint="eastAsia" w:ascii="宋体" w:hAnsi="宋体" w:cs="Times New Roman"/>
          <w:kern w:val="0"/>
          <w:sz w:val="24"/>
          <w:szCs w:val="24"/>
          <w:highlight w:val="none"/>
          <w:lang w:val="en-US" w:eastAsia="zh-CN"/>
        </w:rPr>
        <w:t>具的关于桐庐县城乡污水管网一体化建设项目-集镇雨污水管网修复改造工程（飘鹰小区雨污分流提升改造）</w:t>
      </w:r>
      <w:r>
        <w:rPr>
          <w:rFonts w:hint="eastAsia" w:ascii="宋体" w:hAnsi="宋体"/>
          <w:kern w:val="0"/>
          <w:sz w:val="24"/>
          <w:szCs w:val="24"/>
          <w:highlight w:val="none"/>
          <w:lang w:val="en-US" w:eastAsia="zh-CN"/>
        </w:rPr>
        <w:t>的预算审核报告；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left="0" w:leftChars="0"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人工信息价(含机上人工)： 根据《杭州造价信息》202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kern w:val="0"/>
          <w:sz w:val="24"/>
          <w:szCs w:val="24"/>
        </w:rPr>
        <w:t>年第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/>
          <w:kern w:val="0"/>
          <w:sz w:val="24"/>
          <w:szCs w:val="24"/>
        </w:rPr>
        <w:t>期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桐庐县</w:t>
      </w:r>
      <w:r>
        <w:rPr>
          <w:rFonts w:hint="eastAsia" w:ascii="宋体" w:hAnsi="宋体"/>
          <w:kern w:val="0"/>
          <w:sz w:val="24"/>
          <w:szCs w:val="24"/>
        </w:rPr>
        <w:t>正刊计算；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left="0" w:leftChars="0"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材料信息价：根据《杭州造价信息》2024年第12期桐庐县正刊、《浙江省造价信息》2024年第12期正刊，无信息价的材料价格按市场询价计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left="0" w:leftChars="0"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相关解释、政策文件及法律法规等。</w:t>
      </w:r>
    </w:p>
    <w:p>
      <w:pPr>
        <w:spacing w:line="400" w:lineRule="exact"/>
        <w:ind w:firstLine="482" w:firstLineChars="20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四、</w:t>
      </w:r>
      <w:r>
        <w:rPr>
          <w:rFonts w:hint="eastAsia"/>
          <w:b/>
          <w:bCs/>
          <w:szCs w:val="21"/>
        </w:rPr>
        <w:t>工程质量、工期</w:t>
      </w:r>
    </w:p>
    <w:p>
      <w:pPr>
        <w:pStyle w:val="48"/>
        <w:spacing w:line="500" w:lineRule="exact"/>
        <w:ind w:firstLine="48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工程质量、工期：见本工程招标文件。</w:t>
      </w:r>
    </w:p>
    <w:p>
      <w:pPr>
        <w:pStyle w:val="48"/>
        <w:spacing w:line="500" w:lineRule="exact"/>
        <w:ind w:firstLine="48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五、编制说明</w:t>
      </w:r>
    </w:p>
    <w:p>
      <w:pPr>
        <w:tabs>
          <w:tab w:val="left" w:pos="1080"/>
          <w:tab w:val="left" w:pos="9180"/>
          <w:tab w:val="left" w:pos="9360"/>
        </w:tabs>
        <w:spacing w:line="360" w:lineRule="auto"/>
        <w:ind w:firstLine="480" w:firstLineChars="200"/>
        <w:outlineLvl w:val="0"/>
        <w:rPr>
          <w:rFonts w:hint="default"/>
          <w:b/>
          <w:kern w:val="28"/>
          <w:lang w:val="en-US"/>
        </w:rPr>
      </w:pPr>
      <w:r>
        <w:rPr>
          <w:rFonts w:hint="eastAsia" w:ascii="宋体" w:hAnsi="宋体"/>
          <w:kern w:val="0"/>
          <w:sz w:val="24"/>
          <w:szCs w:val="24"/>
        </w:rPr>
        <w:t>（一）</w:t>
      </w:r>
      <w:r>
        <w:rPr>
          <w:rFonts w:hint="eastAsia"/>
          <w:kern w:val="0"/>
          <w:sz w:val="24"/>
          <w:szCs w:val="24"/>
          <w:lang w:val="en-US" w:eastAsia="zh-CN"/>
        </w:rPr>
        <w:t>市政工程部分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经与设计沟通确认后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，新建检查井处De300双壁波纹管路面修复工程量，70%按绿化带开挖后修复计入，30%按人行道开挖后修复计入</w:t>
      </w:r>
      <w:r>
        <w:rPr>
          <w:rFonts w:hint="eastAsia" w:ascii="宋体" w:hAnsi="宋体"/>
          <w:sz w:val="24"/>
          <w:szCs w:val="24"/>
          <w:lang w:val="en-US" w:eastAsia="zh-CN"/>
        </w:rPr>
        <w:t>，具体工程量按现场监理及业主签证结算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经与设计沟通确认后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，新建砖砌隔油池与商铺厨房连接的De110废水管每座隔油池暂按10米计入，</w:t>
      </w:r>
      <w:r>
        <w:rPr>
          <w:rFonts w:hint="eastAsia" w:ascii="宋体" w:hAnsi="宋体"/>
          <w:sz w:val="24"/>
          <w:szCs w:val="24"/>
          <w:lang w:val="en-US" w:eastAsia="zh-CN"/>
        </w:rPr>
        <w:t>具体工程量按现场监理及业主签证结算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经与设计沟通确认后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，溢流管每处暂按10米计入，</w:t>
      </w:r>
      <w:r>
        <w:rPr>
          <w:rFonts w:hint="eastAsia" w:ascii="宋体" w:hAnsi="宋体"/>
          <w:sz w:val="24"/>
          <w:szCs w:val="24"/>
          <w:lang w:val="en-US" w:eastAsia="zh-CN"/>
        </w:rPr>
        <w:t>具体工程量按现场监理及业主签证结算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经与设计沟通确认后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，阳台处De75废水管与De110雨水管接入污水井每处暂按5米计入，</w:t>
      </w:r>
      <w:r>
        <w:rPr>
          <w:rFonts w:hint="eastAsia" w:ascii="宋体" w:hAnsi="宋体"/>
          <w:sz w:val="24"/>
          <w:szCs w:val="24"/>
          <w:lang w:val="en-US" w:eastAsia="zh-CN"/>
        </w:rPr>
        <w:t>具体工程量按现场监理及业主签证结算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经与设计沟通确认后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，De75、110管材材质按UPVC计入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经与设计沟通确认后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，沥青路面中沥青拆除厚度暂按10cm计入，混凝土基层拆除厚度暂按20cm计入，</w:t>
      </w:r>
      <w:r>
        <w:rPr>
          <w:rFonts w:hint="eastAsia" w:ascii="宋体" w:hAnsi="宋体"/>
          <w:sz w:val="24"/>
          <w:szCs w:val="24"/>
          <w:lang w:val="en-US" w:eastAsia="zh-CN"/>
        </w:rPr>
        <w:t>具体工程量按现场监理及业主签证结算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经与设计沟通确认后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，人行道路面中混凝土基层拆除厚度暂按15cm计入，</w:t>
      </w:r>
      <w:r>
        <w:rPr>
          <w:rFonts w:hint="eastAsia" w:ascii="宋体" w:hAnsi="宋体"/>
          <w:sz w:val="24"/>
          <w:szCs w:val="24"/>
          <w:lang w:val="en-US" w:eastAsia="zh-CN"/>
        </w:rPr>
        <w:t>具体工程量按现场监理及业主签证结算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经与设计沟通确认后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，原DN300管道拆除暂按混凝土管计入，</w:t>
      </w:r>
      <w:r>
        <w:rPr>
          <w:rFonts w:hint="eastAsia" w:ascii="宋体" w:hAnsi="宋体"/>
          <w:sz w:val="24"/>
          <w:szCs w:val="24"/>
          <w:lang w:val="en-US" w:eastAsia="zh-CN"/>
        </w:rPr>
        <w:t>具体工程量按现场监理及业主签证结算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本预算土方消纳费按桐渣专{2024}8号文计算，运至钟山破塘湾，运距30Km，最终结算土方消纳根据县里或上级最新文件执行；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地下管线交叉处理，投标单位根据自身施工工艺、施工经验结合施工图纸综合报价，总价包干，不得调整；</w:t>
      </w:r>
    </w:p>
    <w:p>
      <w:pPr>
        <w:pStyle w:val="48"/>
        <w:numPr>
          <w:ilvl w:val="0"/>
          <w:numId w:val="3"/>
        </w:numPr>
        <w:spacing w:line="500" w:lineRule="exact"/>
        <w:ind w:left="0" w:leftChars="0" w:firstLine="480" w:firstLineChars="200"/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排水、降水，该项费用一次性包干，中标后不予调整。</w:t>
      </w:r>
    </w:p>
    <w:p>
      <w:pPr>
        <w:pStyle w:val="48"/>
        <w:numPr>
          <w:ilvl w:val="0"/>
          <w:numId w:val="4"/>
        </w:numPr>
        <w:spacing w:line="500" w:lineRule="exact"/>
        <w:ind w:leftChars="200"/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园林绿化工程部分</w:t>
      </w:r>
    </w:p>
    <w:p>
      <w:pPr>
        <w:pStyle w:val="48"/>
        <w:numPr>
          <w:ilvl w:val="0"/>
          <w:numId w:val="0"/>
        </w:numPr>
        <w:spacing w:line="500" w:lineRule="exact"/>
        <w:ind w:firstLine="480" w:firstLineChars="200"/>
        <w:rPr>
          <w:rFonts w:hint="default" w:ascii="宋体" w:hAnsi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1.经与设计沟通确认后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，现场绿化苗木（红花继木、杜鹃）按小毛球计入；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（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）</w:t>
      </w:r>
      <w:r>
        <w:rPr>
          <w:rFonts w:hint="eastAsia" w:ascii="宋体" w:hAnsi="宋体"/>
          <w:sz w:val="24"/>
          <w:szCs w:val="24"/>
        </w:rPr>
        <w:t>共性部分</w:t>
      </w:r>
    </w:p>
    <w:p>
      <w:pPr>
        <w:pStyle w:val="48"/>
        <w:spacing w:line="5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1.施工过程中可能会遇到相关意见和</w:t>
      </w:r>
      <w:r>
        <w:rPr>
          <w:rFonts w:hint="eastAsia" w:ascii="宋体" w:hAnsi="宋体"/>
          <w:sz w:val="24"/>
          <w:szCs w:val="24"/>
          <w:lang w:val="en-US" w:eastAsia="zh-CN"/>
        </w:rPr>
        <w:t>现场做法不符</w:t>
      </w:r>
      <w:r>
        <w:rPr>
          <w:rFonts w:hint="eastAsia" w:ascii="宋体" w:hAnsi="宋体"/>
          <w:sz w:val="24"/>
          <w:szCs w:val="24"/>
        </w:rPr>
        <w:t xml:space="preserve">，很有可能会做出相应的调整，具体工程量以施工过程中实际发生量为准； </w:t>
      </w:r>
    </w:p>
    <w:p>
      <w:pPr>
        <w:pStyle w:val="48"/>
        <w:spacing w:line="500" w:lineRule="exact"/>
        <w:ind w:firstLine="48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本工程混凝土按商品砼，砂浆按预拌砂浆计入；</w:t>
      </w:r>
    </w:p>
    <w:p>
      <w:pPr>
        <w:pStyle w:val="48"/>
        <w:numPr>
          <w:ilvl w:val="0"/>
          <w:numId w:val="0"/>
        </w:numPr>
        <w:spacing w:line="500" w:lineRule="exact"/>
        <w:ind w:leftChars="200"/>
        <w:rPr>
          <w:rFonts w:hint="default" w:ascii="宋体" w:hAnsi="宋体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3.本工程考虑管网进行电视检测（CCTV检测），形成完整的监测报告</w:t>
      </w:r>
      <w:r>
        <w:rPr>
          <w:rFonts w:hint="eastAsia" w:ascii="宋体" w:hAnsi="宋体" w:eastAsia="宋体" w:cs="Times New Roman"/>
          <w:color w:val="auto"/>
          <w:sz w:val="24"/>
          <w:szCs w:val="24"/>
          <w:lang w:val="en-US" w:eastAsia="zh-CN"/>
        </w:rPr>
        <w:t>；</w:t>
      </w:r>
    </w:p>
    <w:p>
      <w:pPr>
        <w:pStyle w:val="48"/>
        <w:widowControl/>
        <w:numPr>
          <w:ilvl w:val="0"/>
          <w:numId w:val="0"/>
        </w:numPr>
        <w:spacing w:line="500" w:lineRule="exact"/>
        <w:ind w:leftChars="200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4.经建设单位确定，本工程内拆除的建筑垃圾由投标单位进行处置，运</w:t>
      </w:r>
    </w:p>
    <w:p>
      <w:pPr>
        <w:pStyle w:val="48"/>
        <w:numPr>
          <w:ilvl w:val="0"/>
          <w:numId w:val="0"/>
        </w:numPr>
        <w:spacing w:line="500" w:lineRule="exact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距、处置点及处置可能产生的费用在清单综合单价中已综合考虑在内，投标单位自行考虑相应费用，在报价内综合考虑；</w:t>
      </w:r>
    </w:p>
    <w:p>
      <w:pPr>
        <w:pStyle w:val="48"/>
        <w:numPr>
          <w:ilvl w:val="0"/>
          <w:numId w:val="0"/>
        </w:numPr>
        <w:spacing w:line="500" w:lineRule="exact"/>
        <w:ind w:leftChars="200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5.甲供材料表附件（发包人供应材料设备一览表）</w:t>
      </w:r>
    </w:p>
    <w:tbl>
      <w:tblPr>
        <w:tblStyle w:val="23"/>
        <w:tblW w:w="84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2550"/>
        <w:gridCol w:w="884"/>
        <w:gridCol w:w="884"/>
        <w:gridCol w:w="884"/>
        <w:gridCol w:w="884"/>
        <w:gridCol w:w="884"/>
        <w:gridCol w:w="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52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550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材料、设备品种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单价</w:t>
            </w:r>
          </w:p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（元）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供应时间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065" w:hRule="exact"/>
        </w:trPr>
        <w:tc>
          <w:tcPr>
            <w:tcW w:w="552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550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PVC-U管道（及配套管件）</w:t>
            </w:r>
          </w:p>
        </w:tc>
        <w:tc>
          <w:tcPr>
            <w:tcW w:w="8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vertAlign w:val="baseline"/>
                <w:lang w:val="en-US" w:eastAsia="zh-CN" w:bidi="ar-SA"/>
              </w:rPr>
              <w:t>De75-De110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按需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开工-</w:t>
            </w:r>
          </w:p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完工</w:t>
            </w:r>
          </w:p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1662" w:hRule="exact"/>
        </w:trPr>
        <w:tc>
          <w:tcPr>
            <w:tcW w:w="552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550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DHPE双壁波纹管，环刚度不低于SN8（及配套管件）</w:t>
            </w:r>
          </w:p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De300、De225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按需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开工-</w:t>
            </w:r>
          </w:p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完工</w:t>
            </w:r>
          </w:p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exact"/>
        </w:trPr>
        <w:tc>
          <w:tcPr>
            <w:tcW w:w="552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550" w:type="dxa"/>
            <w:vAlign w:val="center"/>
          </w:tcPr>
          <w:p>
            <w:pPr>
              <w:pStyle w:val="1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  <w:szCs w:val="24"/>
              </w:rPr>
              <w:t>钢纤维混凝土井盖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Φ700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m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按需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开工-</w:t>
            </w:r>
          </w:p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  <w:t>完工</w:t>
            </w:r>
          </w:p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4" w:type="dxa"/>
            <w:vAlign w:val="center"/>
          </w:tcPr>
          <w:p>
            <w:pPr>
              <w:pStyle w:val="48"/>
              <w:widowControl/>
              <w:numPr>
                <w:ilvl w:val="0"/>
                <w:numId w:val="0"/>
              </w:numPr>
              <w:spacing w:line="500" w:lineRule="exact"/>
              <w:jc w:val="center"/>
              <w:rPr>
                <w:rFonts w:hint="default" w:ascii="宋体" w:hAnsi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pStyle w:val="48"/>
        <w:widowControl/>
        <w:numPr>
          <w:ilvl w:val="0"/>
          <w:numId w:val="0"/>
        </w:numPr>
        <w:spacing w:line="500" w:lineRule="exact"/>
        <w:rPr>
          <w:rFonts w:hint="default" w:ascii="宋体" w:hAnsi="宋体"/>
          <w:kern w:val="0"/>
          <w:sz w:val="24"/>
          <w:szCs w:val="24"/>
          <w:lang w:val="en-US" w:eastAsia="zh-CN"/>
        </w:rPr>
      </w:pPr>
    </w:p>
    <w:p>
      <w:pPr>
        <w:pStyle w:val="48"/>
        <w:widowControl/>
        <w:numPr>
          <w:ilvl w:val="0"/>
          <w:numId w:val="0"/>
        </w:numPr>
        <w:spacing w:line="500" w:lineRule="exact"/>
        <w:rPr>
          <w:rFonts w:hint="default" w:ascii="宋体" w:hAnsi="宋体"/>
          <w:kern w:val="0"/>
          <w:sz w:val="24"/>
          <w:szCs w:val="24"/>
          <w:lang w:val="en-US" w:eastAsia="zh-CN"/>
        </w:rPr>
      </w:pPr>
    </w:p>
    <w:p>
      <w:pPr>
        <w:pStyle w:val="48"/>
        <w:spacing w:line="500" w:lineRule="exact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六、安全文明施工费、企业管理费、规费、税金等的要求：</w:t>
      </w:r>
    </w:p>
    <w:p>
      <w:pPr>
        <w:pStyle w:val="48"/>
        <w:spacing w:line="50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kern w:val="0"/>
          <w:sz w:val="24"/>
          <w:szCs w:val="24"/>
        </w:rPr>
        <w:t>（一）</w:t>
      </w:r>
      <w:r>
        <w:rPr>
          <w:rFonts w:hint="eastAsia" w:ascii="宋体" w:hAnsi="宋体"/>
          <w:sz w:val="24"/>
          <w:szCs w:val="24"/>
          <w:lang w:val="en-US" w:eastAsia="zh-CN"/>
        </w:rPr>
        <w:t>市政工程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1.企业管理费用：</w:t>
      </w:r>
      <w:r>
        <w:rPr>
          <w:rFonts w:hint="eastAsia" w:ascii="宋体" w:hAnsi="宋体"/>
          <w:kern w:val="0"/>
          <w:sz w:val="24"/>
          <w:szCs w:val="24"/>
        </w:rPr>
        <w:t>按道路、排水、河道护岸、水处理构筑物及城市综合管廊、生活垃圾处理工程一般计税费率中值计取</w:t>
      </w:r>
      <w:r>
        <w:rPr>
          <w:rFonts w:hint="eastAsia" w:ascii="宋体" w:hAnsi="宋体" w:eastAsia="宋体" w:cs="Times New Roman"/>
          <w:sz w:val="24"/>
          <w:szCs w:val="24"/>
        </w:rPr>
        <w:t>，以人工费+机械费为计算基数，费率为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17.37</w:t>
      </w:r>
      <w:r>
        <w:rPr>
          <w:rFonts w:hint="eastAsia" w:ascii="宋体" w:hAnsi="宋体" w:eastAsia="宋体" w:cs="Times New Roman"/>
          <w:sz w:val="24"/>
          <w:szCs w:val="24"/>
        </w:rPr>
        <w:t>%，其中安全生产责任保险费费率0.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33</w:t>
      </w:r>
      <w:r>
        <w:rPr>
          <w:rFonts w:hint="eastAsia" w:ascii="宋体" w:hAnsi="宋体" w:eastAsia="宋体" w:cs="Times New Roman"/>
          <w:sz w:val="24"/>
          <w:szCs w:val="24"/>
        </w:rPr>
        <w:t>%；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2.利润：按</w:t>
      </w:r>
      <w:r>
        <w:rPr>
          <w:rFonts w:hint="eastAsia" w:ascii="宋体" w:hAnsi="宋体"/>
          <w:kern w:val="0"/>
          <w:sz w:val="24"/>
          <w:szCs w:val="24"/>
        </w:rPr>
        <w:t>道路、排水、河道护岸、水处理构筑物及城市综合管廊、生活垃圾处理工程一般计税费率中值计取</w:t>
      </w:r>
      <w:r>
        <w:rPr>
          <w:rFonts w:hint="eastAsia" w:ascii="宋体" w:hAnsi="宋体" w:eastAsia="宋体" w:cs="Times New Roman"/>
          <w:sz w:val="24"/>
          <w:szCs w:val="24"/>
        </w:rPr>
        <w:t>，以人工费+机械费为计算基数，费率为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9.99</w:t>
      </w:r>
      <w:r>
        <w:rPr>
          <w:rFonts w:hint="eastAsia" w:ascii="宋体" w:hAnsi="宋体" w:eastAsia="宋体" w:cs="Times New Roman"/>
          <w:sz w:val="24"/>
          <w:szCs w:val="24"/>
        </w:rPr>
        <w:t>%；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3.施工组织措施项目费：</w:t>
      </w:r>
      <w:r>
        <w:rPr>
          <w:rFonts w:hint="eastAsia" w:ascii="宋体" w:hAnsi="宋体"/>
          <w:kern w:val="0"/>
          <w:sz w:val="24"/>
          <w:szCs w:val="24"/>
        </w:rPr>
        <w:t>按道路、排水、河道护岸、水处理构筑物及城市综合管廊、生活垃圾处理工程一般计税费率中值计取</w:t>
      </w:r>
      <w:r>
        <w:rPr>
          <w:rFonts w:hint="eastAsia" w:ascii="宋体" w:hAnsi="宋体"/>
          <w:sz w:val="24"/>
          <w:szCs w:val="24"/>
        </w:rPr>
        <w:t>，以人工费+机械费为计算基数，总费率为</w:t>
      </w:r>
      <w:r>
        <w:rPr>
          <w:rFonts w:hint="eastAsia" w:ascii="宋体" w:hAnsi="宋体"/>
          <w:sz w:val="24"/>
          <w:szCs w:val="24"/>
          <w:lang w:val="en-US" w:eastAsia="zh-CN"/>
        </w:rPr>
        <w:t>10.7</w:t>
      </w:r>
      <w:r>
        <w:rPr>
          <w:rFonts w:hint="eastAsia" w:ascii="宋体" w:hAnsi="宋体"/>
          <w:sz w:val="24"/>
          <w:szCs w:val="24"/>
        </w:rPr>
        <w:t>%；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4.规费：</w:t>
      </w:r>
      <w:r>
        <w:rPr>
          <w:rFonts w:hint="eastAsia" w:ascii="宋体" w:hAnsi="宋体"/>
          <w:kern w:val="0"/>
          <w:sz w:val="24"/>
          <w:szCs w:val="24"/>
        </w:rPr>
        <w:t>按道路、排水、河道护岸、水处理构筑物及城市综合管廊、生活垃圾处理工程一般计税费率计取</w:t>
      </w:r>
      <w:r>
        <w:rPr>
          <w:rFonts w:hint="eastAsia" w:ascii="宋体" w:hAnsi="宋体"/>
          <w:sz w:val="24"/>
          <w:szCs w:val="24"/>
        </w:rPr>
        <w:t>，以人工费+机械费计算基数，费率为</w:t>
      </w:r>
      <w:r>
        <w:rPr>
          <w:rFonts w:hint="eastAsia" w:ascii="宋体" w:hAnsi="宋体"/>
          <w:sz w:val="24"/>
          <w:szCs w:val="24"/>
          <w:lang w:val="en-US" w:eastAsia="zh-CN"/>
        </w:rPr>
        <w:t>18.75</w:t>
      </w:r>
      <w:r>
        <w:rPr>
          <w:rFonts w:hint="eastAsia" w:ascii="宋体" w:hAnsi="宋体"/>
          <w:sz w:val="24"/>
          <w:szCs w:val="24"/>
        </w:rPr>
        <w:t>%；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5.税金：</w:t>
      </w:r>
      <w:r>
        <w:rPr>
          <w:rFonts w:hint="eastAsia" w:ascii="宋体" w:hAnsi="宋体"/>
          <w:kern w:val="0"/>
          <w:sz w:val="24"/>
          <w:szCs w:val="24"/>
        </w:rPr>
        <w:t>按道路、排水、河道护岸、水处理构筑物及城市综合管廊、生活垃圾处理工程一般计税方法税率计取，以税前工程造价为计算基数</w:t>
      </w:r>
      <w:r>
        <w:rPr>
          <w:rFonts w:hint="eastAsia" w:ascii="宋体" w:hAnsi="宋体"/>
          <w:sz w:val="24"/>
          <w:szCs w:val="24"/>
        </w:rPr>
        <w:t>，税率为9%。</w:t>
      </w:r>
    </w:p>
    <w:p>
      <w:pPr>
        <w:pStyle w:val="48"/>
        <w:spacing w:line="5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  <w:lang w:val="en-US" w:eastAsia="zh-CN"/>
        </w:rPr>
        <w:t>园林绿化工程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1.企业管理费用：</w:t>
      </w:r>
      <w:r>
        <w:rPr>
          <w:rFonts w:hint="eastAsia" w:ascii="宋体" w:hAnsi="宋体"/>
          <w:kern w:val="0"/>
          <w:sz w:val="24"/>
          <w:szCs w:val="24"/>
        </w:rPr>
        <w:t>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单独绿化</w:t>
      </w:r>
      <w:r>
        <w:rPr>
          <w:rFonts w:hint="eastAsia" w:ascii="宋体" w:hAnsi="宋体"/>
          <w:kern w:val="0"/>
          <w:sz w:val="24"/>
          <w:szCs w:val="24"/>
        </w:rPr>
        <w:t>工程一般计税费率中值计取</w:t>
      </w:r>
      <w:r>
        <w:rPr>
          <w:rFonts w:hint="eastAsia" w:ascii="宋体" w:hAnsi="宋体" w:eastAsia="宋体" w:cs="Times New Roman"/>
          <w:sz w:val="24"/>
          <w:szCs w:val="24"/>
        </w:rPr>
        <w:t>，以人工费+机械费为计算基数，费率为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18.22</w:t>
      </w:r>
      <w:r>
        <w:rPr>
          <w:rFonts w:hint="eastAsia" w:ascii="宋体" w:hAnsi="宋体" w:eastAsia="宋体" w:cs="Times New Roman"/>
          <w:sz w:val="24"/>
          <w:szCs w:val="24"/>
        </w:rPr>
        <w:t>%，其中安全生产责任保险费费率0.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33</w:t>
      </w:r>
      <w:r>
        <w:rPr>
          <w:rFonts w:hint="eastAsia" w:ascii="宋体" w:hAnsi="宋体" w:eastAsia="宋体" w:cs="Times New Roman"/>
          <w:sz w:val="24"/>
          <w:szCs w:val="24"/>
        </w:rPr>
        <w:t>%；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2.利润：按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单独绿化</w:t>
      </w:r>
      <w:r>
        <w:rPr>
          <w:rFonts w:hint="eastAsia" w:ascii="宋体" w:hAnsi="宋体"/>
          <w:kern w:val="0"/>
          <w:sz w:val="24"/>
          <w:szCs w:val="24"/>
        </w:rPr>
        <w:t>工程一般计税费率中值计取</w:t>
      </w:r>
      <w:r>
        <w:rPr>
          <w:rFonts w:hint="eastAsia" w:ascii="宋体" w:hAnsi="宋体" w:eastAsia="宋体" w:cs="Times New Roman"/>
          <w:sz w:val="24"/>
          <w:szCs w:val="24"/>
        </w:rPr>
        <w:t>，以人工费+机械费为计算基数，费率为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13.21</w:t>
      </w:r>
      <w:r>
        <w:rPr>
          <w:rFonts w:hint="eastAsia" w:ascii="宋体" w:hAnsi="宋体" w:eastAsia="宋体" w:cs="Times New Roman"/>
          <w:sz w:val="24"/>
          <w:szCs w:val="24"/>
        </w:rPr>
        <w:t>%；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3.施工组织措施项目费：</w:t>
      </w:r>
      <w:r>
        <w:rPr>
          <w:rFonts w:hint="eastAsia" w:ascii="宋体" w:hAnsi="宋体"/>
          <w:kern w:val="0"/>
          <w:sz w:val="24"/>
          <w:szCs w:val="24"/>
        </w:rPr>
        <w:t>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单独绿化</w:t>
      </w:r>
      <w:r>
        <w:rPr>
          <w:rFonts w:hint="eastAsia" w:ascii="宋体" w:hAnsi="宋体"/>
          <w:kern w:val="0"/>
          <w:sz w:val="24"/>
          <w:szCs w:val="24"/>
        </w:rPr>
        <w:t>工程一般计税费率中值计取</w:t>
      </w:r>
      <w:r>
        <w:rPr>
          <w:rFonts w:hint="eastAsia" w:ascii="宋体" w:hAnsi="宋体"/>
          <w:sz w:val="24"/>
          <w:szCs w:val="24"/>
        </w:rPr>
        <w:t>，以人工费+机械费为计算基数，总费率为</w:t>
      </w:r>
      <w:r>
        <w:rPr>
          <w:rFonts w:hint="eastAsia" w:ascii="宋体" w:hAnsi="宋体"/>
          <w:sz w:val="24"/>
          <w:szCs w:val="24"/>
          <w:lang w:val="en-US" w:eastAsia="zh-CN"/>
        </w:rPr>
        <w:t>5.51</w:t>
      </w:r>
      <w:r>
        <w:rPr>
          <w:rFonts w:hint="eastAsia" w:ascii="宋体" w:hAnsi="宋体"/>
          <w:sz w:val="24"/>
          <w:szCs w:val="24"/>
        </w:rPr>
        <w:t>%；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4.规费：</w:t>
      </w:r>
      <w:r>
        <w:rPr>
          <w:rFonts w:hint="eastAsia" w:ascii="宋体" w:hAnsi="宋体"/>
          <w:kern w:val="0"/>
          <w:sz w:val="24"/>
          <w:szCs w:val="24"/>
        </w:rPr>
        <w:t>按道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单独绿化</w:t>
      </w:r>
      <w:r>
        <w:rPr>
          <w:rFonts w:hint="eastAsia" w:ascii="宋体" w:hAnsi="宋体"/>
          <w:kern w:val="0"/>
          <w:sz w:val="24"/>
          <w:szCs w:val="24"/>
        </w:rPr>
        <w:t>工程一般计税费率计取</w:t>
      </w:r>
      <w:r>
        <w:rPr>
          <w:rFonts w:hint="eastAsia" w:ascii="宋体" w:hAnsi="宋体"/>
          <w:sz w:val="24"/>
          <w:szCs w:val="24"/>
        </w:rPr>
        <w:t>，以人工费+机械费计算基数，费率为</w:t>
      </w:r>
      <w:r>
        <w:rPr>
          <w:rFonts w:hint="eastAsia" w:ascii="宋体" w:hAnsi="宋体"/>
          <w:sz w:val="24"/>
          <w:szCs w:val="24"/>
          <w:lang w:val="en-US" w:eastAsia="zh-CN"/>
        </w:rPr>
        <w:t>30.61</w:t>
      </w:r>
      <w:r>
        <w:rPr>
          <w:rFonts w:hint="eastAsia" w:ascii="宋体" w:hAnsi="宋体"/>
          <w:sz w:val="24"/>
          <w:szCs w:val="24"/>
        </w:rPr>
        <w:t>%；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5.税金：</w:t>
      </w:r>
      <w:r>
        <w:rPr>
          <w:rFonts w:hint="eastAsia" w:ascii="宋体" w:hAnsi="宋体"/>
          <w:kern w:val="0"/>
          <w:sz w:val="24"/>
          <w:szCs w:val="24"/>
        </w:rPr>
        <w:t>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单独绿化</w:t>
      </w:r>
      <w:r>
        <w:rPr>
          <w:rFonts w:hint="eastAsia" w:ascii="宋体" w:hAnsi="宋体"/>
          <w:kern w:val="0"/>
          <w:sz w:val="24"/>
          <w:szCs w:val="24"/>
        </w:rPr>
        <w:t>工程一般计税方法税率计取，以税前工程造价为计算基数</w:t>
      </w:r>
      <w:r>
        <w:rPr>
          <w:rFonts w:hint="eastAsia" w:ascii="宋体" w:hAnsi="宋体"/>
          <w:sz w:val="24"/>
          <w:szCs w:val="24"/>
        </w:rPr>
        <w:t>，税率为9%。</w:t>
      </w:r>
    </w:p>
    <w:p>
      <w:pPr>
        <w:numPr>
          <w:ilvl w:val="0"/>
          <w:numId w:val="0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 w:firstLine="241" w:firstLineChars="100"/>
        <w:outlineLvl w:val="0"/>
        <w:rPr>
          <w:rFonts w:hint="eastAsia"/>
          <w:b/>
          <w:lang w:val="en-US" w:eastAsia="zh-CN"/>
        </w:rPr>
      </w:pPr>
    </w:p>
    <w:p>
      <w:pPr>
        <w:numPr>
          <w:ilvl w:val="0"/>
          <w:numId w:val="5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 w:firstLine="241" w:firstLineChars="100"/>
        <w:outlineLvl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本工程预算造价</w:t>
      </w:r>
      <w:r>
        <w:rPr>
          <w:rFonts w:hint="eastAsia" w:ascii="宋体" w:hAnsi="宋体" w:eastAsia="宋体" w:cs="宋体"/>
          <w:b/>
          <w:lang w:val="en-US" w:eastAsia="zh-CN"/>
        </w:rPr>
        <w:t>为</w:t>
      </w:r>
      <w:r>
        <w:rPr>
          <w:rFonts w:hint="eastAsia" w:cs="宋体"/>
          <w:b/>
          <w:lang w:val="en-US" w:eastAsia="zh-CN"/>
        </w:rPr>
        <w:t>66.2817</w:t>
      </w:r>
      <w:bookmarkStart w:id="2" w:name="_GoBack"/>
      <w:bookmarkEnd w:id="2"/>
      <w:r>
        <w:rPr>
          <w:rFonts w:hint="eastAsia" w:ascii="宋体" w:hAnsi="宋体" w:eastAsia="宋体" w:cs="宋体"/>
          <w:b/>
          <w:lang w:val="en-US" w:eastAsia="zh-CN"/>
        </w:rPr>
        <w:t>万</w:t>
      </w:r>
      <w:r>
        <w:rPr>
          <w:rFonts w:hint="eastAsia"/>
          <w:b/>
          <w:lang w:val="en-US" w:eastAsia="zh-CN"/>
        </w:rPr>
        <w:t>元。</w:t>
      </w:r>
    </w:p>
    <w:p>
      <w:pPr>
        <w:numPr>
          <w:ilvl w:val="0"/>
          <w:numId w:val="0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rFonts w:hint="eastAsia"/>
          <w:b/>
          <w:lang w:val="en-US" w:eastAsia="zh-CN"/>
        </w:rPr>
      </w:pPr>
    </w:p>
    <w:p>
      <w:pPr>
        <w:numPr>
          <w:ilvl w:val="0"/>
          <w:numId w:val="0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 w:firstLine="241" w:firstLineChars="100"/>
        <w:outlineLvl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八、其他说明：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1.工程量清单中的项目名称与特征描述仅指主要内容，未描述的内容与要求必须结合施工验收规范、当地行业主管部门要求、施工蓝图等进行报价及施工，投标报价时综合单价应充分考虑合同、招标文件、施工验收规范、当地行业主管部门要求、施工蓝图等明示和暗示的所有责任、义务和一般风险（除不可抗力及罕见的气候和地质条件）的全部费用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2.施工便道设置必须方便市民群众和本区块其它标段的施工，满足交警等道路管理部门要求，应充分考虑施工便道的设置方案，费用计入报价。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3.本工程周围建筑物及杆线的保护费、保证交通安全等要求投标单位综合考虑，并单列费用进入措施项目清单报价中，中标后不作调整。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4.施工期间特别要注意加强安全措施，施工中的安全标志、警戒标志、标牌制作、夜间照明费用等安全措施费在报价时进入措施项目报价清单中，中标后一律不作调整，请在投标报价中综合考虑。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5.投标人应考虑施工期间恶劣天气对工程整体进度的影响，在技术标中明确切实可行的技术防范措施来保证工程整体进度，将该费用列入措施项目清单报价中。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6.风险费自行考虑，计入综合单价。风险范围包括：详见招标文件。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7.临时设施在工程竣工验收后 15 天内搬迁完毕，场地清理干净，否则由建设单位负责拆除、清理，费用在工程款中扣除。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8.施工现场临时围挡应按照《杭州市建设工地临时用房及围挡安全管理办法》执行，围挡上的宣传标语、标志标牌等相关费用计入安全文明施工费中，不另行计量。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2085" cy="147955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13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81RGj0QAA&#10;AAMBAAAPAAAAAAAAAAEAIAAAACIAAABkcnMvZG93bnJldi54bWxQSwECFAAUAAAACACHTuJAcocs&#10;8bMBAABJAwAADgAAAAAAAAABACAAAAAg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thinThickLargeGap" w:color="auto" w:sz="24" w:space="17"/>
      </w:pBdr>
      <w:tabs>
        <w:tab w:val="left" w:pos="1394"/>
        <w:tab w:val="clear" w:pos="4153"/>
        <w:tab w:val="clear" w:pos="8306"/>
      </w:tabs>
      <w:jc w:val="left"/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6060" cy="2766060"/>
          <wp:effectExtent l="0" t="0" r="15240" b="15240"/>
          <wp:wrapNone/>
          <wp:docPr id="4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66060" cy="2766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57150</wp:posOffset>
          </wp:positionV>
          <wp:extent cx="1143000" cy="271780"/>
          <wp:effectExtent l="0" t="0" r="0" b="1397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43000" cy="27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D49D5D"/>
    <w:multiLevelType w:val="singleLevel"/>
    <w:tmpl w:val="81D49D5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F8A272B1"/>
    <w:multiLevelType w:val="singleLevel"/>
    <w:tmpl w:val="F8A272B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24CFBFAC"/>
    <w:multiLevelType w:val="singleLevel"/>
    <w:tmpl w:val="24CFBFA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1B7B3F4"/>
    <w:multiLevelType w:val="singleLevel"/>
    <w:tmpl w:val="41B7B3F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ACDFA2B"/>
    <w:multiLevelType w:val="multilevel"/>
    <w:tmpl w:val="6ACDFA2B"/>
    <w:lvl w:ilvl="0" w:tentative="0">
      <w:start w:val="1"/>
      <w:numFmt w:val="japaneseCounting"/>
      <w:lvlText w:val="%1、"/>
      <w:lvlJc w:val="left"/>
      <w:pPr>
        <w:tabs>
          <w:tab w:val="left" w:pos="840"/>
        </w:tabs>
        <w:ind w:left="840" w:hanging="358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124"/>
        </w:tabs>
        <w:ind w:left="1124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544"/>
        </w:tabs>
        <w:ind w:left="1544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964"/>
        </w:tabs>
        <w:ind w:left="1964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4"/>
        </w:tabs>
        <w:ind w:left="2384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804"/>
        </w:tabs>
        <w:ind w:left="2804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224"/>
        </w:tabs>
        <w:ind w:left="3224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44"/>
        </w:tabs>
        <w:ind w:left="3644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064"/>
        </w:tabs>
        <w:ind w:left="4064" w:hanging="42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doNotValidateAgainstSchema/>
  <w:doNotDemarcateInvalidXml/>
  <w:hdrShapeDefaults>
    <o:shapelayout v:ext="edit">
      <o:idmap v:ext="edit" data="1"/>
    </o:shapelayout>
  </w:hdrShapeDefaults>
  <w:compat>
    <w:spaceForUL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5MjhmN2E0MjZjMjcyODlhNDBlYTIwNDlkZDBjMWMifQ=="/>
  </w:docVars>
  <w:rsids>
    <w:rsidRoot w:val="00172A27"/>
    <w:rsid w:val="00013517"/>
    <w:rsid w:val="00014750"/>
    <w:rsid w:val="00014F24"/>
    <w:rsid w:val="00024509"/>
    <w:rsid w:val="00030D04"/>
    <w:rsid w:val="00033B1D"/>
    <w:rsid w:val="00036ACE"/>
    <w:rsid w:val="00036AD2"/>
    <w:rsid w:val="0004433C"/>
    <w:rsid w:val="000461EB"/>
    <w:rsid w:val="000464F8"/>
    <w:rsid w:val="00046C7D"/>
    <w:rsid w:val="000513B3"/>
    <w:rsid w:val="000536A1"/>
    <w:rsid w:val="00055111"/>
    <w:rsid w:val="000624E6"/>
    <w:rsid w:val="000655AA"/>
    <w:rsid w:val="00071FF8"/>
    <w:rsid w:val="00075DBA"/>
    <w:rsid w:val="00082DB7"/>
    <w:rsid w:val="00087F59"/>
    <w:rsid w:val="000A5C9E"/>
    <w:rsid w:val="000B3C64"/>
    <w:rsid w:val="000D7721"/>
    <w:rsid w:val="000E37A7"/>
    <w:rsid w:val="000F2A74"/>
    <w:rsid w:val="000F4643"/>
    <w:rsid w:val="000F4E7C"/>
    <w:rsid w:val="000F74B0"/>
    <w:rsid w:val="00103A2C"/>
    <w:rsid w:val="00106F1E"/>
    <w:rsid w:val="0011415A"/>
    <w:rsid w:val="001320BB"/>
    <w:rsid w:val="00134F8F"/>
    <w:rsid w:val="00137E46"/>
    <w:rsid w:val="0014609B"/>
    <w:rsid w:val="001465BB"/>
    <w:rsid w:val="001503AD"/>
    <w:rsid w:val="00197802"/>
    <w:rsid w:val="001A0E55"/>
    <w:rsid w:val="001A1ECD"/>
    <w:rsid w:val="001A1F50"/>
    <w:rsid w:val="001B3D08"/>
    <w:rsid w:val="001C5DB6"/>
    <w:rsid w:val="001D7248"/>
    <w:rsid w:val="001E649D"/>
    <w:rsid w:val="001F7C2E"/>
    <w:rsid w:val="00205F9E"/>
    <w:rsid w:val="002074A3"/>
    <w:rsid w:val="00211356"/>
    <w:rsid w:val="002133D7"/>
    <w:rsid w:val="002134DC"/>
    <w:rsid w:val="0022339F"/>
    <w:rsid w:val="00237EBD"/>
    <w:rsid w:val="002436C9"/>
    <w:rsid w:val="00250117"/>
    <w:rsid w:val="00250FA2"/>
    <w:rsid w:val="0025510D"/>
    <w:rsid w:val="00267C38"/>
    <w:rsid w:val="002722C2"/>
    <w:rsid w:val="00273E9F"/>
    <w:rsid w:val="00274D14"/>
    <w:rsid w:val="00287342"/>
    <w:rsid w:val="00287EA7"/>
    <w:rsid w:val="002960FF"/>
    <w:rsid w:val="002973FC"/>
    <w:rsid w:val="002978D4"/>
    <w:rsid w:val="002B635C"/>
    <w:rsid w:val="002C6B03"/>
    <w:rsid w:val="002C7A6C"/>
    <w:rsid w:val="002D301E"/>
    <w:rsid w:val="002E3A6A"/>
    <w:rsid w:val="002E5140"/>
    <w:rsid w:val="002F4E98"/>
    <w:rsid w:val="002F646E"/>
    <w:rsid w:val="002F6893"/>
    <w:rsid w:val="00301095"/>
    <w:rsid w:val="00325D69"/>
    <w:rsid w:val="0032677A"/>
    <w:rsid w:val="0033771D"/>
    <w:rsid w:val="00340AAF"/>
    <w:rsid w:val="00346F13"/>
    <w:rsid w:val="003703F0"/>
    <w:rsid w:val="00375E73"/>
    <w:rsid w:val="00387F43"/>
    <w:rsid w:val="003A1257"/>
    <w:rsid w:val="003B0FCE"/>
    <w:rsid w:val="003B1005"/>
    <w:rsid w:val="003B3815"/>
    <w:rsid w:val="003B70E9"/>
    <w:rsid w:val="003C17B3"/>
    <w:rsid w:val="003C274B"/>
    <w:rsid w:val="003D079E"/>
    <w:rsid w:val="003D2230"/>
    <w:rsid w:val="003D61D7"/>
    <w:rsid w:val="003E521A"/>
    <w:rsid w:val="003F2C76"/>
    <w:rsid w:val="003F7655"/>
    <w:rsid w:val="004030DC"/>
    <w:rsid w:val="00404EA8"/>
    <w:rsid w:val="00427EC9"/>
    <w:rsid w:val="0043307A"/>
    <w:rsid w:val="00436045"/>
    <w:rsid w:val="00436FD5"/>
    <w:rsid w:val="00461803"/>
    <w:rsid w:val="00461B30"/>
    <w:rsid w:val="004638EE"/>
    <w:rsid w:val="00477526"/>
    <w:rsid w:val="004776FC"/>
    <w:rsid w:val="00484EB8"/>
    <w:rsid w:val="004853E7"/>
    <w:rsid w:val="0049410D"/>
    <w:rsid w:val="00497C04"/>
    <w:rsid w:val="004A4254"/>
    <w:rsid w:val="004A736C"/>
    <w:rsid w:val="004A76F3"/>
    <w:rsid w:val="004B263C"/>
    <w:rsid w:val="004B311D"/>
    <w:rsid w:val="004C04D6"/>
    <w:rsid w:val="004C1685"/>
    <w:rsid w:val="004E6C7B"/>
    <w:rsid w:val="004E6FB7"/>
    <w:rsid w:val="004F0C30"/>
    <w:rsid w:val="004F4063"/>
    <w:rsid w:val="004F5A73"/>
    <w:rsid w:val="004F5B42"/>
    <w:rsid w:val="004F6112"/>
    <w:rsid w:val="004F6FAB"/>
    <w:rsid w:val="00503A1D"/>
    <w:rsid w:val="005069CB"/>
    <w:rsid w:val="005100C8"/>
    <w:rsid w:val="00512CFF"/>
    <w:rsid w:val="00527C7E"/>
    <w:rsid w:val="00527D04"/>
    <w:rsid w:val="0053335F"/>
    <w:rsid w:val="00546A26"/>
    <w:rsid w:val="0056389A"/>
    <w:rsid w:val="00564D5B"/>
    <w:rsid w:val="00581FFC"/>
    <w:rsid w:val="005860E9"/>
    <w:rsid w:val="005973A3"/>
    <w:rsid w:val="005A0201"/>
    <w:rsid w:val="005A49D7"/>
    <w:rsid w:val="005B3A9F"/>
    <w:rsid w:val="005B55F9"/>
    <w:rsid w:val="005D30DA"/>
    <w:rsid w:val="005D64C0"/>
    <w:rsid w:val="005D6AF0"/>
    <w:rsid w:val="005D7370"/>
    <w:rsid w:val="005E1A1C"/>
    <w:rsid w:val="005E6761"/>
    <w:rsid w:val="00601F15"/>
    <w:rsid w:val="00603367"/>
    <w:rsid w:val="0062126E"/>
    <w:rsid w:val="00624EB0"/>
    <w:rsid w:val="0063066B"/>
    <w:rsid w:val="006319B1"/>
    <w:rsid w:val="00645EAE"/>
    <w:rsid w:val="006477CB"/>
    <w:rsid w:val="00651B55"/>
    <w:rsid w:val="006600ED"/>
    <w:rsid w:val="006825E1"/>
    <w:rsid w:val="00691951"/>
    <w:rsid w:val="006A1FD1"/>
    <w:rsid w:val="006A33D7"/>
    <w:rsid w:val="006A77C6"/>
    <w:rsid w:val="006B3A40"/>
    <w:rsid w:val="006C1885"/>
    <w:rsid w:val="006E7D23"/>
    <w:rsid w:val="006F4D5B"/>
    <w:rsid w:val="006F7A42"/>
    <w:rsid w:val="00700A73"/>
    <w:rsid w:val="00712FDA"/>
    <w:rsid w:val="00716854"/>
    <w:rsid w:val="007218EF"/>
    <w:rsid w:val="00721E55"/>
    <w:rsid w:val="0074357F"/>
    <w:rsid w:val="007470CC"/>
    <w:rsid w:val="00747AC4"/>
    <w:rsid w:val="007533B7"/>
    <w:rsid w:val="00760C7B"/>
    <w:rsid w:val="00770FE1"/>
    <w:rsid w:val="00774972"/>
    <w:rsid w:val="007773AE"/>
    <w:rsid w:val="00780C21"/>
    <w:rsid w:val="00791664"/>
    <w:rsid w:val="00794D20"/>
    <w:rsid w:val="007950B2"/>
    <w:rsid w:val="007A357D"/>
    <w:rsid w:val="007A54BB"/>
    <w:rsid w:val="007B2F0D"/>
    <w:rsid w:val="007D40A2"/>
    <w:rsid w:val="007F6481"/>
    <w:rsid w:val="007F6CE4"/>
    <w:rsid w:val="008007E8"/>
    <w:rsid w:val="0080691A"/>
    <w:rsid w:val="00833716"/>
    <w:rsid w:val="00837A5C"/>
    <w:rsid w:val="008407B6"/>
    <w:rsid w:val="00852967"/>
    <w:rsid w:val="0085400A"/>
    <w:rsid w:val="00870DEC"/>
    <w:rsid w:val="0088209C"/>
    <w:rsid w:val="008830BF"/>
    <w:rsid w:val="0088755C"/>
    <w:rsid w:val="00887E4F"/>
    <w:rsid w:val="00891B9A"/>
    <w:rsid w:val="008A5389"/>
    <w:rsid w:val="008B0D0D"/>
    <w:rsid w:val="008B3E87"/>
    <w:rsid w:val="008B6969"/>
    <w:rsid w:val="008C353C"/>
    <w:rsid w:val="008C6FCC"/>
    <w:rsid w:val="008C7801"/>
    <w:rsid w:val="008D6148"/>
    <w:rsid w:val="008E33C7"/>
    <w:rsid w:val="008E3D13"/>
    <w:rsid w:val="008F4A18"/>
    <w:rsid w:val="008F5C55"/>
    <w:rsid w:val="009000A2"/>
    <w:rsid w:val="00904B4A"/>
    <w:rsid w:val="009152F1"/>
    <w:rsid w:val="009203C5"/>
    <w:rsid w:val="0092155A"/>
    <w:rsid w:val="00922B4F"/>
    <w:rsid w:val="00922F70"/>
    <w:rsid w:val="00930AD8"/>
    <w:rsid w:val="00935D76"/>
    <w:rsid w:val="00936744"/>
    <w:rsid w:val="00937ECA"/>
    <w:rsid w:val="00942D0E"/>
    <w:rsid w:val="0095612A"/>
    <w:rsid w:val="009675E9"/>
    <w:rsid w:val="009808AF"/>
    <w:rsid w:val="00990BCA"/>
    <w:rsid w:val="009A336F"/>
    <w:rsid w:val="009A3C0F"/>
    <w:rsid w:val="009A4110"/>
    <w:rsid w:val="009A6023"/>
    <w:rsid w:val="009B132E"/>
    <w:rsid w:val="009B1644"/>
    <w:rsid w:val="009C16B7"/>
    <w:rsid w:val="009D300A"/>
    <w:rsid w:val="009D39A8"/>
    <w:rsid w:val="009E3733"/>
    <w:rsid w:val="009E3B12"/>
    <w:rsid w:val="009E5C77"/>
    <w:rsid w:val="009F625B"/>
    <w:rsid w:val="009F70AC"/>
    <w:rsid w:val="00A10C57"/>
    <w:rsid w:val="00A15A3D"/>
    <w:rsid w:val="00A23133"/>
    <w:rsid w:val="00A24E14"/>
    <w:rsid w:val="00A339C8"/>
    <w:rsid w:val="00A33F60"/>
    <w:rsid w:val="00A3445C"/>
    <w:rsid w:val="00A37919"/>
    <w:rsid w:val="00A443E1"/>
    <w:rsid w:val="00A4792A"/>
    <w:rsid w:val="00A51A52"/>
    <w:rsid w:val="00A537E0"/>
    <w:rsid w:val="00A6078B"/>
    <w:rsid w:val="00A7142F"/>
    <w:rsid w:val="00A76B14"/>
    <w:rsid w:val="00A828F4"/>
    <w:rsid w:val="00AB565F"/>
    <w:rsid w:val="00AC4266"/>
    <w:rsid w:val="00AD2D29"/>
    <w:rsid w:val="00AD44E1"/>
    <w:rsid w:val="00AD79B9"/>
    <w:rsid w:val="00AE0B05"/>
    <w:rsid w:val="00AE2F13"/>
    <w:rsid w:val="00AE5BA0"/>
    <w:rsid w:val="00AE6C0C"/>
    <w:rsid w:val="00AE74BD"/>
    <w:rsid w:val="00AF36F8"/>
    <w:rsid w:val="00B0379A"/>
    <w:rsid w:val="00B142EC"/>
    <w:rsid w:val="00B22B36"/>
    <w:rsid w:val="00B3095C"/>
    <w:rsid w:val="00B3183B"/>
    <w:rsid w:val="00B35D02"/>
    <w:rsid w:val="00B42AA4"/>
    <w:rsid w:val="00B52C62"/>
    <w:rsid w:val="00B54FBC"/>
    <w:rsid w:val="00B647F0"/>
    <w:rsid w:val="00B67FA7"/>
    <w:rsid w:val="00B87B5E"/>
    <w:rsid w:val="00BA5536"/>
    <w:rsid w:val="00BA7F84"/>
    <w:rsid w:val="00BB5465"/>
    <w:rsid w:val="00BB6332"/>
    <w:rsid w:val="00BC6E81"/>
    <w:rsid w:val="00BD7657"/>
    <w:rsid w:val="00BE7ACA"/>
    <w:rsid w:val="00BF45D2"/>
    <w:rsid w:val="00BF4F05"/>
    <w:rsid w:val="00BF500E"/>
    <w:rsid w:val="00C01775"/>
    <w:rsid w:val="00C018D1"/>
    <w:rsid w:val="00C07958"/>
    <w:rsid w:val="00C11624"/>
    <w:rsid w:val="00C205F0"/>
    <w:rsid w:val="00C219BD"/>
    <w:rsid w:val="00C21E3A"/>
    <w:rsid w:val="00C458FB"/>
    <w:rsid w:val="00C51629"/>
    <w:rsid w:val="00C552B7"/>
    <w:rsid w:val="00C62AD0"/>
    <w:rsid w:val="00C62DB9"/>
    <w:rsid w:val="00C63F2A"/>
    <w:rsid w:val="00C7305B"/>
    <w:rsid w:val="00C7470C"/>
    <w:rsid w:val="00C80446"/>
    <w:rsid w:val="00C8211B"/>
    <w:rsid w:val="00C8213A"/>
    <w:rsid w:val="00C83A6C"/>
    <w:rsid w:val="00C84F19"/>
    <w:rsid w:val="00C853A3"/>
    <w:rsid w:val="00C902C5"/>
    <w:rsid w:val="00CA7695"/>
    <w:rsid w:val="00CB034D"/>
    <w:rsid w:val="00CD4DEB"/>
    <w:rsid w:val="00CD5178"/>
    <w:rsid w:val="00CE0FCE"/>
    <w:rsid w:val="00CE1CAC"/>
    <w:rsid w:val="00CE5F48"/>
    <w:rsid w:val="00CF4F9D"/>
    <w:rsid w:val="00CF6531"/>
    <w:rsid w:val="00D05ADC"/>
    <w:rsid w:val="00D06F55"/>
    <w:rsid w:val="00D15691"/>
    <w:rsid w:val="00D158AD"/>
    <w:rsid w:val="00D20D80"/>
    <w:rsid w:val="00D371A1"/>
    <w:rsid w:val="00D4518B"/>
    <w:rsid w:val="00D5686C"/>
    <w:rsid w:val="00D67EE3"/>
    <w:rsid w:val="00D73E3B"/>
    <w:rsid w:val="00D77B0F"/>
    <w:rsid w:val="00D84419"/>
    <w:rsid w:val="00D91071"/>
    <w:rsid w:val="00D9448E"/>
    <w:rsid w:val="00DA32A9"/>
    <w:rsid w:val="00DA634E"/>
    <w:rsid w:val="00DB1432"/>
    <w:rsid w:val="00DB4E6F"/>
    <w:rsid w:val="00DC2F6E"/>
    <w:rsid w:val="00DC4C48"/>
    <w:rsid w:val="00DD5F2D"/>
    <w:rsid w:val="00DD79BF"/>
    <w:rsid w:val="00DE294A"/>
    <w:rsid w:val="00DE61B8"/>
    <w:rsid w:val="00DF1567"/>
    <w:rsid w:val="00DF2B0F"/>
    <w:rsid w:val="00E10E2F"/>
    <w:rsid w:val="00E3445C"/>
    <w:rsid w:val="00E41484"/>
    <w:rsid w:val="00E41DB5"/>
    <w:rsid w:val="00E47C43"/>
    <w:rsid w:val="00E51446"/>
    <w:rsid w:val="00E51AEE"/>
    <w:rsid w:val="00E60D12"/>
    <w:rsid w:val="00E613BB"/>
    <w:rsid w:val="00E6368C"/>
    <w:rsid w:val="00E719F9"/>
    <w:rsid w:val="00E823A2"/>
    <w:rsid w:val="00E94FF6"/>
    <w:rsid w:val="00EB071D"/>
    <w:rsid w:val="00EC0A9D"/>
    <w:rsid w:val="00EC3DA3"/>
    <w:rsid w:val="00EE27A8"/>
    <w:rsid w:val="00EF1005"/>
    <w:rsid w:val="00EF7E8B"/>
    <w:rsid w:val="00F02D97"/>
    <w:rsid w:val="00F054EC"/>
    <w:rsid w:val="00F1029E"/>
    <w:rsid w:val="00F572E9"/>
    <w:rsid w:val="00F65601"/>
    <w:rsid w:val="00F710CC"/>
    <w:rsid w:val="00F747A3"/>
    <w:rsid w:val="00F80620"/>
    <w:rsid w:val="00F900CE"/>
    <w:rsid w:val="00F91B33"/>
    <w:rsid w:val="00F923CC"/>
    <w:rsid w:val="00F94961"/>
    <w:rsid w:val="00FA18B7"/>
    <w:rsid w:val="00FA251B"/>
    <w:rsid w:val="00FA7EC5"/>
    <w:rsid w:val="00FB3755"/>
    <w:rsid w:val="00FB38E6"/>
    <w:rsid w:val="00FB50BC"/>
    <w:rsid w:val="00FB59CA"/>
    <w:rsid w:val="00FC0F19"/>
    <w:rsid w:val="00FC79C3"/>
    <w:rsid w:val="00FC7C5C"/>
    <w:rsid w:val="00FD480B"/>
    <w:rsid w:val="00FE2E59"/>
    <w:rsid w:val="00FE73DB"/>
    <w:rsid w:val="00FF0C31"/>
    <w:rsid w:val="01557A3F"/>
    <w:rsid w:val="01626D55"/>
    <w:rsid w:val="023C66B8"/>
    <w:rsid w:val="024B344F"/>
    <w:rsid w:val="03494ECC"/>
    <w:rsid w:val="038500F8"/>
    <w:rsid w:val="03CC5ECA"/>
    <w:rsid w:val="042A0462"/>
    <w:rsid w:val="048E7480"/>
    <w:rsid w:val="04AA4233"/>
    <w:rsid w:val="04C44C50"/>
    <w:rsid w:val="04EE14A4"/>
    <w:rsid w:val="072B6851"/>
    <w:rsid w:val="079600FE"/>
    <w:rsid w:val="07BF12C2"/>
    <w:rsid w:val="08DF64FD"/>
    <w:rsid w:val="09207727"/>
    <w:rsid w:val="09A824A0"/>
    <w:rsid w:val="0A2574B3"/>
    <w:rsid w:val="0A4444E4"/>
    <w:rsid w:val="0A4D7496"/>
    <w:rsid w:val="0A5151D8"/>
    <w:rsid w:val="0A575703"/>
    <w:rsid w:val="0AF7560D"/>
    <w:rsid w:val="0BC301D9"/>
    <w:rsid w:val="0BED05DB"/>
    <w:rsid w:val="0C762CD4"/>
    <w:rsid w:val="0CEC69C1"/>
    <w:rsid w:val="0CF956B3"/>
    <w:rsid w:val="0D154302"/>
    <w:rsid w:val="0D1D7190"/>
    <w:rsid w:val="0D935B07"/>
    <w:rsid w:val="0DB34DC5"/>
    <w:rsid w:val="0E224840"/>
    <w:rsid w:val="0E807E3A"/>
    <w:rsid w:val="0F9C62AB"/>
    <w:rsid w:val="0FF30ADF"/>
    <w:rsid w:val="10360A28"/>
    <w:rsid w:val="105B53E4"/>
    <w:rsid w:val="109A074C"/>
    <w:rsid w:val="10A4325A"/>
    <w:rsid w:val="114C5FF1"/>
    <w:rsid w:val="118123DB"/>
    <w:rsid w:val="118D31D7"/>
    <w:rsid w:val="119B5D70"/>
    <w:rsid w:val="1220184D"/>
    <w:rsid w:val="1270704D"/>
    <w:rsid w:val="12876C72"/>
    <w:rsid w:val="128D65FD"/>
    <w:rsid w:val="129F4319"/>
    <w:rsid w:val="12B26A30"/>
    <w:rsid w:val="12EC7C9C"/>
    <w:rsid w:val="132605A7"/>
    <w:rsid w:val="13B65166"/>
    <w:rsid w:val="13C13135"/>
    <w:rsid w:val="13FD7AD9"/>
    <w:rsid w:val="140F3276"/>
    <w:rsid w:val="14193B86"/>
    <w:rsid w:val="141D5E0F"/>
    <w:rsid w:val="144F4060"/>
    <w:rsid w:val="14D26837"/>
    <w:rsid w:val="16CC1E75"/>
    <w:rsid w:val="17400225"/>
    <w:rsid w:val="17AA4179"/>
    <w:rsid w:val="189F1804"/>
    <w:rsid w:val="18D75BD4"/>
    <w:rsid w:val="18EA696C"/>
    <w:rsid w:val="19166537"/>
    <w:rsid w:val="19525097"/>
    <w:rsid w:val="19AA0FA9"/>
    <w:rsid w:val="19B418B8"/>
    <w:rsid w:val="1A880997"/>
    <w:rsid w:val="1A8B2040"/>
    <w:rsid w:val="1AB374E2"/>
    <w:rsid w:val="1B784A1C"/>
    <w:rsid w:val="1BB27180"/>
    <w:rsid w:val="1DB40F7F"/>
    <w:rsid w:val="1F3150A2"/>
    <w:rsid w:val="20497803"/>
    <w:rsid w:val="21591BA3"/>
    <w:rsid w:val="21AD2926"/>
    <w:rsid w:val="21FA3A22"/>
    <w:rsid w:val="22FD1376"/>
    <w:rsid w:val="233649D3"/>
    <w:rsid w:val="237613B4"/>
    <w:rsid w:val="240B614A"/>
    <w:rsid w:val="242A28CA"/>
    <w:rsid w:val="253D7326"/>
    <w:rsid w:val="2585551C"/>
    <w:rsid w:val="263E265D"/>
    <w:rsid w:val="27AE16A9"/>
    <w:rsid w:val="2889433C"/>
    <w:rsid w:val="28E374EB"/>
    <w:rsid w:val="29496ECC"/>
    <w:rsid w:val="29A30860"/>
    <w:rsid w:val="29AC0786"/>
    <w:rsid w:val="2AE333EA"/>
    <w:rsid w:val="2B9B2B99"/>
    <w:rsid w:val="2CBF5DAB"/>
    <w:rsid w:val="2D3D5B48"/>
    <w:rsid w:val="2D581074"/>
    <w:rsid w:val="2DF36570"/>
    <w:rsid w:val="2E1606DB"/>
    <w:rsid w:val="2E2831C7"/>
    <w:rsid w:val="2F0C4ABE"/>
    <w:rsid w:val="2FB461D1"/>
    <w:rsid w:val="2FC17A65"/>
    <w:rsid w:val="2FEA0C29"/>
    <w:rsid w:val="304143E5"/>
    <w:rsid w:val="3061222A"/>
    <w:rsid w:val="308D1737"/>
    <w:rsid w:val="3106021B"/>
    <w:rsid w:val="320C542C"/>
    <w:rsid w:val="322936D7"/>
    <w:rsid w:val="32DA70E0"/>
    <w:rsid w:val="330F332F"/>
    <w:rsid w:val="344B7ED9"/>
    <w:rsid w:val="34666505"/>
    <w:rsid w:val="350F0F1C"/>
    <w:rsid w:val="3522139B"/>
    <w:rsid w:val="35C441A4"/>
    <w:rsid w:val="36992FA1"/>
    <w:rsid w:val="36DD0212"/>
    <w:rsid w:val="374E0226"/>
    <w:rsid w:val="37645B6D"/>
    <w:rsid w:val="37BC7885"/>
    <w:rsid w:val="38184717"/>
    <w:rsid w:val="38C67D33"/>
    <w:rsid w:val="3AA472C4"/>
    <w:rsid w:val="3B674E03"/>
    <w:rsid w:val="3B691AD2"/>
    <w:rsid w:val="3BBC03B7"/>
    <w:rsid w:val="3BDD02C5"/>
    <w:rsid w:val="3D56682D"/>
    <w:rsid w:val="3DD34EFD"/>
    <w:rsid w:val="3E4458D5"/>
    <w:rsid w:val="3EA62CD7"/>
    <w:rsid w:val="3EB50A11"/>
    <w:rsid w:val="3EBD28FC"/>
    <w:rsid w:val="3EF40857"/>
    <w:rsid w:val="3F112386"/>
    <w:rsid w:val="3FC6532D"/>
    <w:rsid w:val="406903B9"/>
    <w:rsid w:val="408A636F"/>
    <w:rsid w:val="408F05F9"/>
    <w:rsid w:val="40980F08"/>
    <w:rsid w:val="40F46821"/>
    <w:rsid w:val="43B3461E"/>
    <w:rsid w:val="445B4DB6"/>
    <w:rsid w:val="44996E9A"/>
    <w:rsid w:val="44C147DB"/>
    <w:rsid w:val="44DE6309"/>
    <w:rsid w:val="45282005"/>
    <w:rsid w:val="46AD3081"/>
    <w:rsid w:val="470B7EE1"/>
    <w:rsid w:val="489E3325"/>
    <w:rsid w:val="48C93947"/>
    <w:rsid w:val="48DF209C"/>
    <w:rsid w:val="493A36B0"/>
    <w:rsid w:val="4AA80B2F"/>
    <w:rsid w:val="4AF22A01"/>
    <w:rsid w:val="4B400582"/>
    <w:rsid w:val="4C721BF8"/>
    <w:rsid w:val="4C850C19"/>
    <w:rsid w:val="4CD51C9D"/>
    <w:rsid w:val="508354E5"/>
    <w:rsid w:val="50F54C60"/>
    <w:rsid w:val="51360F4D"/>
    <w:rsid w:val="513769CE"/>
    <w:rsid w:val="51BD0E26"/>
    <w:rsid w:val="51C97C57"/>
    <w:rsid w:val="52756B57"/>
    <w:rsid w:val="535B75CD"/>
    <w:rsid w:val="538C1421"/>
    <w:rsid w:val="538D6EA3"/>
    <w:rsid w:val="53BC636D"/>
    <w:rsid w:val="55466588"/>
    <w:rsid w:val="5617654C"/>
    <w:rsid w:val="57A411D6"/>
    <w:rsid w:val="5805272B"/>
    <w:rsid w:val="582726A1"/>
    <w:rsid w:val="59E73D0F"/>
    <w:rsid w:val="59EC76FE"/>
    <w:rsid w:val="5A425322"/>
    <w:rsid w:val="5A4675AB"/>
    <w:rsid w:val="5A501A8A"/>
    <w:rsid w:val="5A897C95"/>
    <w:rsid w:val="5C0F141D"/>
    <w:rsid w:val="5C7B120D"/>
    <w:rsid w:val="5C867ADA"/>
    <w:rsid w:val="5D6972B8"/>
    <w:rsid w:val="5ED8702A"/>
    <w:rsid w:val="61730D12"/>
    <w:rsid w:val="61996BAE"/>
    <w:rsid w:val="625A33E9"/>
    <w:rsid w:val="625D436D"/>
    <w:rsid w:val="63B93EDC"/>
    <w:rsid w:val="63FF2724"/>
    <w:rsid w:val="64D7563A"/>
    <w:rsid w:val="65000502"/>
    <w:rsid w:val="657D3011"/>
    <w:rsid w:val="65806194"/>
    <w:rsid w:val="65CC5377"/>
    <w:rsid w:val="66F50139"/>
    <w:rsid w:val="67A13C10"/>
    <w:rsid w:val="67A24F14"/>
    <w:rsid w:val="685D7846"/>
    <w:rsid w:val="690310F5"/>
    <w:rsid w:val="691B0EFE"/>
    <w:rsid w:val="6983542A"/>
    <w:rsid w:val="69F34C95"/>
    <w:rsid w:val="6A334ED5"/>
    <w:rsid w:val="6A500C38"/>
    <w:rsid w:val="6A584189"/>
    <w:rsid w:val="6A6D289F"/>
    <w:rsid w:val="6A942CE9"/>
    <w:rsid w:val="6AF44007"/>
    <w:rsid w:val="6B873576"/>
    <w:rsid w:val="6CEB1A97"/>
    <w:rsid w:val="6D170809"/>
    <w:rsid w:val="6D197DE8"/>
    <w:rsid w:val="6DD61B41"/>
    <w:rsid w:val="6DF4388B"/>
    <w:rsid w:val="6E4965FC"/>
    <w:rsid w:val="6FA8783E"/>
    <w:rsid w:val="70100167"/>
    <w:rsid w:val="714B246D"/>
    <w:rsid w:val="717A2FBC"/>
    <w:rsid w:val="718E1C5D"/>
    <w:rsid w:val="720F536D"/>
    <w:rsid w:val="73727874"/>
    <w:rsid w:val="73FE4ED9"/>
    <w:rsid w:val="74027162"/>
    <w:rsid w:val="748E25CA"/>
    <w:rsid w:val="74AF2AFE"/>
    <w:rsid w:val="75D94B83"/>
    <w:rsid w:val="76446418"/>
    <w:rsid w:val="7646191B"/>
    <w:rsid w:val="76764668"/>
    <w:rsid w:val="77334A1B"/>
    <w:rsid w:val="788F055B"/>
    <w:rsid w:val="78B26191"/>
    <w:rsid w:val="795821A2"/>
    <w:rsid w:val="795934A7"/>
    <w:rsid w:val="7B6F42DF"/>
    <w:rsid w:val="7BBB7CA3"/>
    <w:rsid w:val="7BFD4E3C"/>
    <w:rsid w:val="7C57180B"/>
    <w:rsid w:val="7C62561D"/>
    <w:rsid w:val="7CC321BF"/>
    <w:rsid w:val="7D2F59D0"/>
    <w:rsid w:val="7ED10C1A"/>
    <w:rsid w:val="7F066EF6"/>
    <w:rsid w:val="7F0F1D84"/>
    <w:rsid w:val="7F7207A3"/>
    <w:rsid w:val="7F8B38CC"/>
    <w:rsid w:val="7FC811B2"/>
    <w:rsid w:val="B67F3CC1"/>
    <w:rsid w:val="C5BE1D45"/>
    <w:rsid w:val="E52F10C4"/>
    <w:rsid w:val="FF8B16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24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4">
    <w:name w:val="Document Map"/>
    <w:basedOn w:val="1"/>
    <w:link w:val="30"/>
    <w:unhideWhenUsed/>
    <w:qFormat/>
    <w:uiPriority w:val="99"/>
    <w:rPr>
      <w:rFonts w:cs="Times New Roman"/>
      <w:sz w:val="18"/>
      <w:szCs w:val="18"/>
    </w:rPr>
  </w:style>
  <w:style w:type="paragraph" w:styleId="5">
    <w:name w:val="annotation text"/>
    <w:basedOn w:val="1"/>
    <w:link w:val="31"/>
    <w:unhideWhenUsed/>
    <w:qFormat/>
    <w:uiPriority w:val="99"/>
    <w:rPr>
      <w:rFonts w:cs="Times New Roman"/>
    </w:rPr>
  </w:style>
  <w:style w:type="paragraph" w:styleId="6">
    <w:name w:val="toc 5"/>
    <w:basedOn w:val="1"/>
    <w:next w:val="1"/>
    <w:qFormat/>
    <w:uiPriority w:val="39"/>
    <w:pPr>
      <w:widowControl w:val="0"/>
      <w:tabs>
        <w:tab w:val="right" w:leader="dot" w:pos="8296"/>
      </w:tabs>
      <w:ind w:left="1050" w:leftChars="5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7">
    <w:name w:val="toc 3"/>
    <w:basedOn w:val="1"/>
    <w:next w:val="1"/>
    <w:qFormat/>
    <w:uiPriority w:val="39"/>
    <w:pPr>
      <w:widowControl w:val="0"/>
      <w:ind w:left="840" w:leftChars="4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8">
    <w:name w:val="toc 8"/>
    <w:basedOn w:val="1"/>
    <w:next w:val="1"/>
    <w:unhideWhenUsed/>
    <w:qFormat/>
    <w:uiPriority w:val="39"/>
    <w:pPr>
      <w:widowControl w:val="0"/>
      <w:ind w:left="2940" w:leftChars="14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9">
    <w:name w:val="Date"/>
    <w:basedOn w:val="1"/>
    <w:next w:val="1"/>
    <w:link w:val="32"/>
    <w:unhideWhenUsed/>
    <w:qFormat/>
    <w:uiPriority w:val="99"/>
    <w:pPr>
      <w:ind w:left="100" w:leftChars="2500"/>
    </w:pPr>
    <w:rPr>
      <w:rFonts w:cs="Times New Roman"/>
    </w:rPr>
  </w:style>
  <w:style w:type="paragraph" w:styleId="10">
    <w:name w:val="Balloon Text"/>
    <w:basedOn w:val="1"/>
    <w:link w:val="33"/>
    <w:unhideWhenUsed/>
    <w:qFormat/>
    <w:uiPriority w:val="99"/>
    <w:rPr>
      <w:rFonts w:cs="Times New Roman"/>
      <w:sz w:val="18"/>
      <w:szCs w:val="18"/>
    </w:rPr>
  </w:style>
  <w:style w:type="paragraph" w:styleId="11">
    <w:name w:val="footer"/>
    <w:basedOn w:val="1"/>
    <w:link w:val="34"/>
    <w:unhideWhenUsed/>
    <w:qFormat/>
    <w:uiPriority w:val="0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4">
    <w:name w:val="toc 4"/>
    <w:basedOn w:val="1"/>
    <w:next w:val="1"/>
    <w:qFormat/>
    <w:uiPriority w:val="39"/>
    <w:pPr>
      <w:widowControl w:val="0"/>
      <w:tabs>
        <w:tab w:val="left" w:pos="1890"/>
        <w:tab w:val="right" w:leader="dot" w:pos="8296"/>
      </w:tabs>
      <w:ind w:left="630" w:leftChars="3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15">
    <w:name w:val="Subtitle"/>
    <w:basedOn w:val="1"/>
    <w:next w:val="1"/>
    <w:link w:val="36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unhideWhenUsed/>
    <w:qFormat/>
    <w:uiPriority w:val="39"/>
    <w:pPr>
      <w:widowControl w:val="0"/>
      <w:ind w:left="2100" w:leftChars="10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19">
    <w:name w:val="Normal (Web)"/>
    <w:basedOn w:val="1"/>
    <w:unhideWhenUsed/>
    <w:qFormat/>
    <w:uiPriority w:val="99"/>
    <w:pPr>
      <w:spacing w:before="100" w:beforeLines="0" w:beforeAutospacing="1" w:after="100" w:afterLines="0" w:afterAutospacing="1"/>
    </w:pPr>
  </w:style>
  <w:style w:type="paragraph" w:styleId="20">
    <w:name w:val="Title"/>
    <w:basedOn w:val="1"/>
    <w:next w:val="1"/>
    <w:link w:val="37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1">
    <w:name w:val="annotation subject"/>
    <w:basedOn w:val="5"/>
    <w:next w:val="5"/>
    <w:link w:val="38"/>
    <w:unhideWhenUsed/>
    <w:qFormat/>
    <w:uiPriority w:val="99"/>
    <w:rPr>
      <w:b/>
      <w:bCs/>
    </w:rPr>
  </w:style>
  <w:style w:type="table" w:styleId="23">
    <w:name w:val="Table Grid"/>
    <w:basedOn w:val="2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5">
    <w:name w:val="page number"/>
    <w:unhideWhenUsed/>
    <w:qFormat/>
    <w:uiPriority w:val="99"/>
  </w:style>
  <w:style w:type="character" w:styleId="26">
    <w:name w:val="FollowedHyperlink"/>
    <w:unhideWhenUsed/>
    <w:qFormat/>
    <w:uiPriority w:val="99"/>
    <w:rPr>
      <w:color w:val="800080"/>
      <w:u w:val="single"/>
    </w:r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21"/>
      <w:szCs w:val="21"/>
    </w:rPr>
  </w:style>
  <w:style w:type="character" w:customStyle="1" w:styleId="29">
    <w:name w:val="标题 1 字符"/>
    <w:link w:val="2"/>
    <w:qFormat/>
    <w:uiPriority w:val="9"/>
    <w:rPr>
      <w:rFonts w:ascii="宋体" w:hAnsi="宋体" w:cs="宋体"/>
      <w:b/>
      <w:bCs/>
      <w:kern w:val="44"/>
      <w:sz w:val="44"/>
      <w:szCs w:val="44"/>
    </w:rPr>
  </w:style>
  <w:style w:type="character" w:customStyle="1" w:styleId="30">
    <w:name w:val="文档结构图 字符"/>
    <w:link w:val="4"/>
    <w:semiHidden/>
    <w:qFormat/>
    <w:uiPriority w:val="99"/>
    <w:rPr>
      <w:rFonts w:ascii="宋体" w:hAnsi="宋体" w:cs="宋体"/>
      <w:sz w:val="18"/>
      <w:szCs w:val="18"/>
    </w:rPr>
  </w:style>
  <w:style w:type="character" w:customStyle="1" w:styleId="31">
    <w:name w:val="批注文字 字符"/>
    <w:link w:val="5"/>
    <w:semiHidden/>
    <w:qFormat/>
    <w:uiPriority w:val="99"/>
    <w:rPr>
      <w:rFonts w:ascii="宋体" w:hAnsi="宋体" w:cs="宋体"/>
      <w:sz w:val="24"/>
      <w:szCs w:val="24"/>
    </w:rPr>
  </w:style>
  <w:style w:type="character" w:customStyle="1" w:styleId="32">
    <w:name w:val="日期 字符"/>
    <w:link w:val="9"/>
    <w:semiHidden/>
    <w:qFormat/>
    <w:uiPriority w:val="99"/>
    <w:rPr>
      <w:rFonts w:ascii="宋体" w:hAnsi="宋体" w:cs="宋体"/>
      <w:sz w:val="24"/>
      <w:szCs w:val="24"/>
    </w:rPr>
  </w:style>
  <w:style w:type="character" w:customStyle="1" w:styleId="33">
    <w:name w:val="批注框文本 字符"/>
    <w:link w:val="10"/>
    <w:semiHidden/>
    <w:qFormat/>
    <w:uiPriority w:val="99"/>
    <w:rPr>
      <w:rFonts w:ascii="宋体" w:hAnsi="宋体" w:cs="宋体"/>
      <w:sz w:val="18"/>
      <w:szCs w:val="18"/>
    </w:rPr>
  </w:style>
  <w:style w:type="character" w:customStyle="1" w:styleId="34">
    <w:name w:val="页脚 字符"/>
    <w:link w:val="11"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35">
    <w:name w:val="页眉 字符1"/>
    <w:link w:val="12"/>
    <w:semiHidden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36">
    <w:name w:val="副标题 字符"/>
    <w:link w:val="15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37">
    <w:name w:val="标题 字符"/>
    <w:link w:val="20"/>
    <w:qFormat/>
    <w:uiPriority w:val="10"/>
    <w:rPr>
      <w:rFonts w:ascii="Cambria" w:hAnsi="Cambria"/>
      <w:b/>
      <w:bCs/>
      <w:sz w:val="24"/>
      <w:szCs w:val="32"/>
    </w:rPr>
  </w:style>
  <w:style w:type="character" w:customStyle="1" w:styleId="38">
    <w:name w:val="批注主题 字符"/>
    <w:link w:val="21"/>
    <w:semiHidden/>
    <w:qFormat/>
    <w:uiPriority w:val="99"/>
    <w:rPr>
      <w:rFonts w:ascii="宋体" w:hAnsi="宋体" w:cs="宋体"/>
      <w:b/>
      <w:bCs/>
      <w:sz w:val="24"/>
      <w:szCs w:val="24"/>
    </w:rPr>
  </w:style>
  <w:style w:type="character" w:customStyle="1" w:styleId="39">
    <w:name w:val="15"/>
    <w:qFormat/>
    <w:uiPriority w:val="0"/>
    <w:rPr>
      <w:rFonts w:hint="default" w:ascii="Times New Roman" w:hAnsi="Times New Roman" w:cs="Times New Roman"/>
      <w:color w:val="464445"/>
      <w:u w:val="none"/>
    </w:rPr>
  </w:style>
  <w:style w:type="paragraph" w:customStyle="1" w:styleId="40">
    <w:name w:val="stitle"/>
    <w:basedOn w:val="1"/>
    <w:qFormat/>
    <w:uiPriority w:val="0"/>
    <w:pPr>
      <w:spacing w:before="100" w:beforeLines="0" w:beforeAutospacing="1" w:after="100" w:afterLines="0" w:afterAutospacing="1"/>
    </w:pPr>
    <w:rPr>
      <w:smallCaps/>
      <w:color w:val="000000"/>
      <w:sz w:val="20"/>
      <w:szCs w:val="20"/>
    </w:rPr>
  </w:style>
  <w:style w:type="paragraph" w:customStyle="1" w:styleId="41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2">
    <w:name w:val="tiao"/>
    <w:basedOn w:val="1"/>
    <w:qFormat/>
    <w:uiPriority w:val="0"/>
    <w:pPr>
      <w:shd w:val="clear" w:color="auto" w:fill="AFEEEE"/>
      <w:spacing w:before="100" w:beforeLines="0" w:beforeAutospacing="1" w:after="100" w:afterLines="0" w:afterAutospacing="1"/>
    </w:pPr>
    <w:rPr>
      <w:i/>
      <w:iCs/>
      <w:smallCaps/>
      <w:color w:val="6600CC"/>
      <w:sz w:val="20"/>
      <w:szCs w:val="20"/>
    </w:rPr>
  </w:style>
  <w:style w:type="paragraph" w:customStyle="1" w:styleId="43">
    <w:name w:val="content"/>
    <w:basedOn w:val="1"/>
    <w:qFormat/>
    <w:uiPriority w:val="0"/>
    <w:pPr>
      <w:spacing w:before="100" w:beforeLines="0" w:beforeAutospacing="1" w:after="100" w:afterLines="0" w:afterAutospacing="1" w:line="384" w:lineRule="auto"/>
    </w:pPr>
    <w:rPr>
      <w:sz w:val="18"/>
      <w:szCs w:val="18"/>
    </w:rPr>
  </w:style>
  <w:style w:type="paragraph" w:customStyle="1" w:styleId="44">
    <w:name w:val="mtitle"/>
    <w:basedOn w:val="1"/>
    <w:qFormat/>
    <w:uiPriority w:val="0"/>
    <w:pPr>
      <w:spacing w:before="100" w:beforeLines="0" w:beforeAutospacing="1" w:after="100" w:afterLines="0" w:afterAutospacing="1" w:line="336" w:lineRule="auto"/>
    </w:pPr>
    <w:rPr>
      <w:b/>
      <w:bCs/>
      <w:smallCaps/>
      <w:color w:val="000000"/>
      <w:sz w:val="20"/>
      <w:szCs w:val="20"/>
    </w:rPr>
  </w:style>
  <w:style w:type="paragraph" w:customStyle="1" w:styleId="45">
    <w:name w:val="mnotes"/>
    <w:basedOn w:val="1"/>
    <w:qFormat/>
    <w:uiPriority w:val="0"/>
    <w:pPr>
      <w:shd w:val="clear" w:color="auto" w:fill="AFEEEE"/>
      <w:spacing w:before="100" w:beforeLines="0" w:beforeAutospacing="1" w:after="100" w:afterLines="0" w:afterAutospacing="1" w:line="336" w:lineRule="auto"/>
    </w:pPr>
    <w:rPr>
      <w:smallCaps/>
      <w:color w:val="008080"/>
      <w:sz w:val="20"/>
      <w:szCs w:val="20"/>
    </w:rPr>
  </w:style>
  <w:style w:type="paragraph" w:customStyle="1" w:styleId="46">
    <w:name w:val="p17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47">
    <w:name w:val="tiaonoa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18"/>
      <w:szCs w:val="18"/>
    </w:rPr>
  </w:style>
  <w:style w:type="paragraph" w:customStyle="1" w:styleId="48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49">
    <w:name w:val="tiaoyin"/>
    <w:basedOn w:val="1"/>
    <w:qFormat/>
    <w:uiPriority w:val="0"/>
    <w:pPr>
      <w:spacing w:before="100" w:beforeLines="0" w:beforeAutospacing="1" w:after="100" w:afterLines="0" w:afterAutospacing="1"/>
    </w:pPr>
    <w:rPr>
      <w:smallCaps/>
      <w:color w:val="FF0000"/>
      <w:sz w:val="20"/>
      <w:szCs w:val="20"/>
    </w:rPr>
  </w:style>
  <w:style w:type="paragraph" w:customStyle="1" w:styleId="50">
    <w:name w:val="_Style 49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character" w:customStyle="1" w:styleId="51">
    <w:name w:val="页眉 字符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381</Words>
  <Characters>2172</Characters>
  <Lines>18</Lines>
  <Paragraphs>5</Paragraphs>
  <TotalTime>0</TotalTime>
  <ScaleCrop>false</ScaleCrop>
  <LinksUpToDate>false</LinksUpToDate>
  <CharactersWithSpaces>2548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2023-10-12T06:46:00Z</dcterms:created>
  <dc:creator>hp</dc:creator>
  <cp:lastModifiedBy>汪大大哥哥</cp:lastModifiedBy>
  <cp:lastPrinted>2024-10-30T08:28:00Z</cp:lastPrinted>
  <dcterms:modified xsi:type="dcterms:W3CDTF">2025-01-13T05:21:46Z</dcterms:modified>
  <dc:title>建设部、国家工商行政管理总局关于印发《建设工程造价咨询合同(示范文本)》的通知--北大法宝--北大法律信息网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CD0502D42D0B4691B981ED21CE9A33FB_13</vt:lpwstr>
  </property>
</Properties>
</file>