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/>
          <w:szCs w:val="21"/>
        </w:rPr>
      </w:pPr>
    </w:p>
    <w:p>
      <w:pPr>
        <w:pStyle w:val="48"/>
        <w:widowControl/>
        <w:jc w:val="center"/>
        <w:rPr>
          <w:rFonts w:hint="eastAsia" w:ascii="黑体" w:hAnsi="黑体" w:eastAsia="黑体"/>
          <w:b/>
          <w:bCs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/>
          <w:bCs/>
          <w:kern w:val="0"/>
          <w:sz w:val="32"/>
          <w:szCs w:val="32"/>
          <w:lang w:val="en-US" w:eastAsia="zh-CN"/>
        </w:rPr>
        <w:t>工程量清单总说明</w:t>
      </w:r>
    </w:p>
    <w:p>
      <w:pPr>
        <w:spacing w:line="360" w:lineRule="auto"/>
        <w:jc w:val="center"/>
        <w:outlineLvl w:val="0"/>
        <w:rPr>
          <w:rFonts w:hint="eastAsia" w:ascii="方正小标宋简体" w:eastAsia="方正小标宋简体"/>
          <w:b/>
          <w:color w:val="FF0000"/>
          <w:sz w:val="28"/>
          <w:szCs w:val="28"/>
        </w:rPr>
      </w:pPr>
      <w:r>
        <w:rPr>
          <w:rFonts w:hint="eastAsia" w:ascii="方正小标宋简体" w:eastAsia="方正小标宋简体"/>
          <w:b/>
          <w:color w:val="FF0000"/>
          <w:sz w:val="28"/>
          <w:szCs w:val="28"/>
        </w:rPr>
        <w:t xml:space="preserve"> </w:t>
      </w:r>
    </w:p>
    <w:p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410" w:rightChars="171"/>
        <w:outlineLvl w:val="0"/>
        <w:rPr>
          <w:b/>
        </w:rPr>
      </w:pPr>
      <w:r>
        <w:rPr>
          <w:rFonts w:hint="eastAsia"/>
          <w:b/>
        </w:rPr>
        <w:t>工程概况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1.工程名</w:t>
      </w:r>
      <w:r>
        <w:rPr>
          <w:rFonts w:hint="eastAsia" w:ascii="宋体" w:hAnsi="宋体" w:eastAsia="宋体" w:cs="Times New Roman"/>
          <w:kern w:val="0"/>
          <w:sz w:val="24"/>
          <w:szCs w:val="24"/>
        </w:rPr>
        <w:t>称：</w:t>
      </w:r>
      <w:bookmarkStart w:id="0" w:name="项目名称2"/>
      <w:bookmarkStart w:id="1" w:name="PO_name2"/>
      <w:bookmarkStart w:id="2" w:name="项目名称8"/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党校体育馆维修项目</w:t>
      </w:r>
      <w:bookmarkEnd w:id="0"/>
      <w:bookmarkEnd w:id="1"/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                                             </w:t>
      </w:r>
      <w:bookmarkEnd w:id="2"/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2.建设单位：</w:t>
      </w:r>
      <w:bookmarkStart w:id="3" w:name="建设单位"/>
      <w:r>
        <w:rPr>
          <w:rFonts w:hint="eastAsia" w:ascii="宋体" w:hAnsi="宋体" w:eastAsia="宋体" w:cs="Times New Roman"/>
          <w:kern w:val="0"/>
          <w:sz w:val="24"/>
          <w:szCs w:val="24"/>
        </w:rPr>
        <w:t>中共桐庐县委党校</w:t>
      </w:r>
      <w:r>
        <w:rPr>
          <w:rFonts w:hint="eastAsia" w:ascii="宋体" w:hAnsi="宋体" w:eastAsia="宋体" w:cs="Times New Roman"/>
          <w:kern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 xml:space="preserve">                                              </w:t>
      </w:r>
      <w:bookmarkEnd w:id="3"/>
      <w:r>
        <w:rPr>
          <w:rFonts w:hint="eastAsia" w:ascii="宋体" w:hAnsi="宋体"/>
          <w:kern w:val="0"/>
          <w:sz w:val="24"/>
          <w:szCs w:val="24"/>
          <w:lang w:val="en-US" w:eastAsia="zh-CN"/>
        </w:rPr>
        <w:t xml:space="preserve"> 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 w:eastAsia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3.工程地点：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桐庐县城区。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 w:eastAsia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</w:rPr>
        <w:t>4.工程规模及内容：</w:t>
      </w:r>
      <w:r>
        <w:rPr>
          <w:rFonts w:hint="eastAsia" w:ascii="宋体" w:hAnsi="宋体" w:eastAsia="宋体"/>
          <w:kern w:val="0"/>
          <w:sz w:val="24"/>
          <w:szCs w:val="24"/>
          <w:lang w:val="en-US" w:eastAsia="zh-CN"/>
        </w:rPr>
        <w:t>本工程为桐庐县</w:t>
      </w:r>
      <w:r>
        <w:rPr>
          <w:rFonts w:hint="eastAsia"/>
          <w:lang w:val="en-US" w:eastAsia="zh-CN"/>
        </w:rPr>
        <w:t>党校体育馆维修项目</w:t>
      </w:r>
      <w:r>
        <w:rPr>
          <w:rFonts w:hint="eastAsia" w:ascii="宋体" w:hAnsi="宋体" w:eastAsia="宋体"/>
          <w:kern w:val="0"/>
          <w:sz w:val="24"/>
          <w:szCs w:val="24"/>
          <w:lang w:val="en-US" w:eastAsia="zh-CN"/>
        </w:rPr>
        <w:t>，主要包括楼地面装饰、墙柱面装饰、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屋面</w:t>
      </w:r>
      <w:r>
        <w:rPr>
          <w:rFonts w:hint="eastAsia" w:ascii="宋体" w:hAnsi="宋体" w:eastAsia="宋体"/>
          <w:kern w:val="0"/>
          <w:sz w:val="24"/>
          <w:szCs w:val="24"/>
          <w:lang w:val="en-US" w:eastAsia="zh-CN"/>
        </w:rPr>
        <w:t>工程、涂料油漆、拆除工程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、外立面整治工程</w:t>
      </w:r>
      <w:r>
        <w:rPr>
          <w:rFonts w:hint="eastAsia" w:ascii="宋体" w:hAnsi="宋体" w:eastAsia="宋体"/>
          <w:kern w:val="0"/>
          <w:sz w:val="24"/>
          <w:szCs w:val="24"/>
          <w:lang w:val="en-US" w:eastAsia="zh-CN"/>
        </w:rPr>
        <w:t>等施工项目。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 w:eastAsia="宋体"/>
          <w:kern w:val="0"/>
          <w:sz w:val="24"/>
          <w:szCs w:val="24"/>
          <w:lang w:val="en-US" w:eastAsia="zh-CN"/>
        </w:rPr>
      </w:pPr>
    </w:p>
    <w:p>
      <w:pPr>
        <w:numPr>
          <w:ilvl w:val="0"/>
          <w:numId w:val="1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rFonts w:hint="eastAsia"/>
          <w:b/>
        </w:rPr>
      </w:pPr>
      <w:r>
        <w:rPr>
          <w:rFonts w:hint="eastAsia"/>
          <w:b/>
        </w:rPr>
        <w:t>工程招标范围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招标范围：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招标</w:t>
      </w:r>
      <w:r>
        <w:rPr>
          <w:rFonts w:hint="eastAsia" w:ascii="宋体" w:hAnsi="宋体"/>
          <w:kern w:val="0"/>
          <w:sz w:val="24"/>
          <w:szCs w:val="24"/>
        </w:rPr>
        <w:t>清单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所有</w:t>
      </w:r>
      <w:r>
        <w:rPr>
          <w:rFonts w:hint="eastAsia" w:ascii="宋体" w:hAnsi="宋体"/>
          <w:kern w:val="0"/>
          <w:sz w:val="24"/>
          <w:szCs w:val="24"/>
        </w:rPr>
        <w:t>内容。</w:t>
      </w:r>
    </w:p>
    <w:p>
      <w:pPr>
        <w:pStyle w:val="48"/>
        <w:widowControl/>
        <w:spacing w:line="500" w:lineRule="exact"/>
        <w:ind w:firstLine="482" w:firstLineChars="200"/>
        <w:rPr>
          <w:rFonts w:hint="eastAsia" w:ascii="宋体" w:hAnsi="宋体"/>
          <w:b/>
          <w:bCs/>
          <w:kern w:val="0"/>
          <w:sz w:val="24"/>
          <w:szCs w:val="24"/>
        </w:rPr>
      </w:pPr>
      <w:r>
        <w:rPr>
          <w:rFonts w:hint="eastAsia" w:ascii="宋体" w:hAnsi="宋体"/>
          <w:b/>
          <w:bCs/>
          <w:kern w:val="0"/>
          <w:sz w:val="24"/>
          <w:szCs w:val="24"/>
          <w:lang w:val="en-US" w:eastAsia="zh-CN"/>
        </w:rPr>
        <w:t>三、</w:t>
      </w:r>
      <w:r>
        <w:rPr>
          <w:rFonts w:hint="eastAsia" w:ascii="宋体" w:hAnsi="宋体"/>
          <w:b/>
          <w:bCs/>
          <w:kern w:val="0"/>
          <w:sz w:val="24"/>
          <w:szCs w:val="24"/>
        </w:rPr>
        <w:t>编制依据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1.《建设工程工程量清单计价规范》GB 50500-2013；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2.《浙江省建设工程工程计价规则》（2018版）；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3.《浙江省房屋建筑与装饰工程预算定额》（2018版）、《浙江省通用安装工程预算定额》（2018版）、《浙江省市政工程预算定额》（2018版）、《浙江省园林绿化及仿古建筑工程预算定额》（2018版）、《浙江省建设工程施工机械台班费用定额》（2018版）；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4.《关于明确杭州市建筑施工领域安全生产责任保险费用计取的通知》（杭建工发〔2021〕384号）；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5.《省建设厅关于调整建筑工程安全文明施工费的通知》（浙建建发〔2022〕37号）；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6.</w:t>
      </w:r>
      <w:r>
        <w:rPr>
          <w:rFonts w:hint="eastAsia" w:ascii="宋体" w:hAnsi="宋体"/>
          <w:kern w:val="0"/>
          <w:sz w:val="24"/>
          <w:szCs w:val="24"/>
        </w:rPr>
        <w:t>人工信息价(含机上人工)： 根据《杭州造价信息》202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kern w:val="0"/>
          <w:sz w:val="24"/>
          <w:szCs w:val="24"/>
        </w:rPr>
        <w:t>年第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kern w:val="0"/>
          <w:sz w:val="24"/>
          <w:szCs w:val="24"/>
        </w:rPr>
        <w:t>期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桐庐县</w:t>
      </w:r>
      <w:r>
        <w:rPr>
          <w:rFonts w:hint="eastAsia" w:ascii="宋体" w:hAnsi="宋体"/>
          <w:kern w:val="0"/>
          <w:sz w:val="24"/>
          <w:szCs w:val="24"/>
        </w:rPr>
        <w:t>正刊计算；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7.材料信息价：根据《杭州造价信息》2024年第9期桐庐县正刊、《浙江省造价信息》2024年第8期正刊，无信息价的材料价格按市场询价计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/>
          <w:kern w:val="0"/>
          <w:sz w:val="24"/>
          <w:szCs w:val="24"/>
        </w:rPr>
        <w:t>.相关解释、政策文件及法律法规等。</w:t>
      </w:r>
    </w:p>
    <w:p>
      <w:pPr>
        <w:spacing w:line="400" w:lineRule="exact"/>
        <w:ind w:firstLine="482" w:firstLineChars="200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  <w:lang w:val="en-US" w:eastAsia="zh-CN"/>
        </w:rPr>
        <w:t>四、</w:t>
      </w:r>
      <w:r>
        <w:rPr>
          <w:rFonts w:hint="eastAsia"/>
          <w:b/>
          <w:bCs/>
          <w:szCs w:val="21"/>
        </w:rPr>
        <w:t>工程质量、工期</w:t>
      </w:r>
    </w:p>
    <w:p>
      <w:pPr>
        <w:pStyle w:val="48"/>
        <w:spacing w:line="500" w:lineRule="exact"/>
        <w:ind w:firstLine="48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工程质量、工期：见本工程招标文件。</w:t>
      </w:r>
    </w:p>
    <w:p>
      <w:pPr>
        <w:pStyle w:val="48"/>
        <w:spacing w:line="500" w:lineRule="exact"/>
        <w:ind w:firstLine="48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五、编制说明</w:t>
      </w:r>
    </w:p>
    <w:p>
      <w:pPr>
        <w:pStyle w:val="48"/>
        <w:spacing w:line="500" w:lineRule="exact"/>
        <w:ind w:firstLine="480"/>
        <w:rPr>
          <w:rFonts w:hint="default" w:ascii="宋体" w:hAnsi="宋体" w:eastAsia="宋体" w:cs="Times New Roman"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lang w:eastAsia="zh-CN"/>
        </w:rPr>
        <w:t>（一）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房屋建筑与装饰部分</w:t>
      </w:r>
    </w:p>
    <w:p>
      <w:pPr>
        <w:pStyle w:val="48"/>
        <w:spacing w:line="500" w:lineRule="exact"/>
        <w:ind w:firstLine="48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经建设单位同意，墙面一般抹灰工程</w:t>
      </w:r>
      <w:r>
        <w:rPr>
          <w:rFonts w:hint="eastAsia" w:ascii="宋体" w:hAnsi="宋体"/>
          <w:sz w:val="24"/>
          <w:szCs w:val="24"/>
          <w:lang w:val="en-US" w:eastAsia="zh-CN"/>
        </w:rPr>
        <w:t>量暂按60平方米计入，具体以现场实际施工为准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spacing w:line="500" w:lineRule="exact"/>
        <w:ind w:firstLine="48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经建设单位同意，墙面有机玻璃字工程量暂按12个计入，</w:t>
      </w:r>
      <w:r>
        <w:rPr>
          <w:rFonts w:hint="eastAsia" w:ascii="宋体" w:hAnsi="宋体"/>
          <w:sz w:val="24"/>
          <w:szCs w:val="24"/>
          <w:lang w:val="en-US" w:eastAsia="zh-CN"/>
        </w:rPr>
        <w:t>具体以现场实际施工为准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>
      <w:pPr>
        <w:pStyle w:val="48"/>
        <w:spacing w:line="500" w:lineRule="exact"/>
        <w:ind w:firstLine="480"/>
        <w:rPr>
          <w:rFonts w:hint="eastAsia" w:ascii="宋体" w:hAnsi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3.经建设单位同意，木地板做法暂按0.5mm防潮层薄膜，12mm弹性吸震垫及找平垫块，木龙骨，12mm厚高强度优质耐水压层板，22mm厚运动实木地板计入；</w:t>
      </w:r>
    </w:p>
    <w:p>
      <w:pPr>
        <w:pStyle w:val="48"/>
        <w:spacing w:line="500" w:lineRule="exact"/>
        <w:ind w:firstLine="480"/>
        <w:rPr>
          <w:rFonts w:hint="eastAsia" w:ascii="宋体" w:hAnsi="宋体" w:eastAsia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kern w:val="0"/>
          <w:sz w:val="24"/>
          <w:szCs w:val="24"/>
          <w:lang w:val="en-US" w:eastAsia="zh-CN"/>
        </w:rPr>
        <w:t>4.经建设单位同意，内墙面、天棚、踢脚线做法暂按计入腻子二遍，乳胶</w:t>
      </w:r>
      <w:r>
        <w:rPr>
          <w:rFonts w:hint="eastAsia" w:ascii="宋体" w:hAnsi="宋体" w:eastAsia="宋体"/>
          <w:kern w:val="0"/>
          <w:sz w:val="24"/>
          <w:szCs w:val="24"/>
          <w:lang w:val="en-US" w:eastAsia="zh-CN"/>
        </w:rPr>
        <w:t>漆二遍计入，外墙面做法暂按腻子二遍，弹性涂料计入；</w:t>
      </w:r>
    </w:p>
    <w:p>
      <w:pPr>
        <w:pStyle w:val="48"/>
        <w:spacing w:line="500" w:lineRule="exact"/>
        <w:ind w:firstLine="480"/>
        <w:rPr>
          <w:rFonts w:hint="eastAsia" w:ascii="宋体" w:hAnsi="宋体" w:eastAsia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kern w:val="0"/>
          <w:sz w:val="24"/>
          <w:szCs w:val="24"/>
          <w:lang w:val="en-US" w:eastAsia="zh-CN"/>
        </w:rPr>
        <w:t>5.经建设单位同意，雨棚钢梁做法暂按醇酸漆二遍，防锈漆一遍计入；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6.经建设单位同意，屋面做法暂按3mm厚改性沥青防水卷材，40mm厚C25细石混凝土找平计入；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7.经建设单位同意，雨蓬玻璃更换材料暂按</w:t>
      </w:r>
      <w:r>
        <w:rPr>
          <w:rFonts w:hint="eastAsia" w:ascii="宋体" w:hAnsi="宋体"/>
          <w:sz w:val="24"/>
          <w:szCs w:val="24"/>
        </w:rPr>
        <w:t>夹层钢化玻璃6+1.4pvb+6</w:t>
      </w:r>
      <w:r>
        <w:rPr>
          <w:rFonts w:hint="eastAsia" w:ascii="宋体" w:hAnsi="宋体"/>
          <w:sz w:val="24"/>
          <w:szCs w:val="24"/>
          <w:lang w:val="en-US" w:eastAsia="zh-CN"/>
        </w:rPr>
        <w:t>计入。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（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Times New Roman"/>
          <w:sz w:val="24"/>
          <w:szCs w:val="24"/>
          <w:lang w:val="en-US" w:eastAsia="zh-CN"/>
        </w:rPr>
        <w:t>）</w:t>
      </w:r>
      <w:r>
        <w:rPr>
          <w:rFonts w:hint="eastAsia" w:ascii="宋体" w:hAnsi="宋体"/>
          <w:sz w:val="24"/>
          <w:szCs w:val="24"/>
        </w:rPr>
        <w:t>共性部分</w:t>
      </w:r>
    </w:p>
    <w:p>
      <w:pPr>
        <w:pStyle w:val="48"/>
        <w:spacing w:line="50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1.施工过程中可能会遇到相关意见和</w:t>
      </w:r>
      <w:r>
        <w:rPr>
          <w:rFonts w:hint="eastAsia" w:ascii="宋体" w:hAnsi="宋体"/>
          <w:sz w:val="24"/>
          <w:szCs w:val="24"/>
          <w:lang w:val="en-US" w:eastAsia="zh-CN"/>
        </w:rPr>
        <w:t>现场做法不符</w:t>
      </w:r>
      <w:r>
        <w:rPr>
          <w:rFonts w:hint="eastAsia" w:ascii="宋体" w:hAnsi="宋体"/>
          <w:sz w:val="24"/>
          <w:szCs w:val="24"/>
        </w:rPr>
        <w:t xml:space="preserve">，很有可能会做出相应的调整，具体工程量以施工过程中实际发生量为准； </w:t>
      </w:r>
    </w:p>
    <w:p>
      <w:pPr>
        <w:pStyle w:val="48"/>
        <w:spacing w:line="500" w:lineRule="exact"/>
        <w:ind w:firstLine="480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2.</w:t>
      </w:r>
      <w:r>
        <w:rPr>
          <w:rFonts w:hint="eastAsia" w:ascii="宋体" w:hAnsi="宋体"/>
          <w:sz w:val="24"/>
          <w:szCs w:val="24"/>
        </w:rPr>
        <w:t>本工程混凝土按商品砼，砂浆按预拌砂浆计入；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 w:eastAsia="宋体"/>
          <w:sz w:val="24"/>
          <w:szCs w:val="24"/>
        </w:rPr>
        <w:t>3.本工程中主要材料均需要业主选样，满足业主及设计要求</w:t>
      </w:r>
      <w:r>
        <w:rPr>
          <w:rFonts w:hint="eastAsia" w:ascii="宋体" w:hAnsi="宋体"/>
          <w:sz w:val="24"/>
          <w:szCs w:val="24"/>
          <w:lang w:eastAsia="zh-CN"/>
        </w:rPr>
        <w:t>。</w:t>
      </w:r>
    </w:p>
    <w:p>
      <w:pPr>
        <w:pStyle w:val="48"/>
        <w:widowControl/>
        <w:numPr>
          <w:ilvl w:val="0"/>
          <w:numId w:val="2"/>
        </w:numPr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本工程主要材料按以下参考品牌或生产厂家要求计价，施工时主要材料品牌或生产厂家必须符合以下参考品牌或生产厂家（或相当于该品牌或厂家，必须经建设单位认可）。具体品牌或生产厂家、规格见下表:</w:t>
      </w:r>
    </w:p>
    <w:tbl>
      <w:tblPr>
        <w:tblStyle w:val="22"/>
        <w:tblW w:w="846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2027"/>
        <w:gridCol w:w="1665"/>
        <w:gridCol w:w="2608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名    称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规格、</w:t>
            </w:r>
            <w:r>
              <w:rPr>
                <w:rFonts w:hint="eastAsia"/>
                <w:szCs w:val="21"/>
                <w:lang w:val="en-US" w:eastAsia="zh-CN"/>
              </w:rPr>
              <w:t>型号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参考品牌或生产厂家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exact"/>
          <w:jc w:val="center"/>
        </w:trPr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firstLine="240" w:firstLine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562" w:leftChars="234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运动地板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详见清单</w:t>
            </w:r>
          </w:p>
        </w:tc>
        <w:tc>
          <w:tcPr>
            <w:tcW w:w="2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圣象、大自然、</w:t>
            </w:r>
          </w:p>
          <w:p>
            <w:pPr>
              <w:spacing w:line="4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阿姆斯壮</w:t>
            </w:r>
          </w:p>
        </w:tc>
        <w:tc>
          <w:tcPr>
            <w:tcW w:w="1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00" w:lineRule="exact"/>
              <w:ind w:left="562" w:leftChars="234"/>
              <w:rPr>
                <w:rFonts w:hint="eastAsia"/>
                <w:szCs w:val="21"/>
              </w:rPr>
            </w:pPr>
          </w:p>
        </w:tc>
      </w:tr>
    </w:tbl>
    <w:p>
      <w:pPr>
        <w:pStyle w:val="48"/>
        <w:spacing w:line="500" w:lineRule="exact"/>
        <w:rPr>
          <w:rFonts w:hint="default" w:ascii="宋体" w:hAnsi="宋体"/>
          <w:sz w:val="24"/>
          <w:szCs w:val="24"/>
          <w:lang w:val="en-US" w:eastAsia="zh-CN"/>
        </w:rPr>
      </w:pPr>
      <w:bookmarkStart w:id="4" w:name="_GoBack"/>
      <w:bookmarkEnd w:id="4"/>
    </w:p>
    <w:p>
      <w:pPr>
        <w:pStyle w:val="48"/>
        <w:spacing w:line="500" w:lineRule="exact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六、安全文明施工费、企业管理费、规费、税金等的要求：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 w:eastAsia="宋体" w:cs="Times New Roman"/>
          <w:kern w:val="0"/>
          <w:sz w:val="24"/>
          <w:szCs w:val="24"/>
          <w:lang w:val="en-US"/>
        </w:rPr>
      </w:pPr>
      <w:r>
        <w:rPr>
          <w:rFonts w:hint="eastAsia" w:ascii="宋体" w:hAnsi="宋体" w:eastAsia="宋体" w:cs="Times New Roman"/>
          <w:kern w:val="0"/>
          <w:sz w:val="24"/>
          <w:szCs w:val="24"/>
        </w:rPr>
        <w:t>（一）</w:t>
      </w:r>
      <w:r>
        <w:rPr>
          <w:rFonts w:hint="eastAsia" w:ascii="宋体" w:hAnsi="宋体" w:eastAsia="宋体" w:cs="Times New Roman"/>
          <w:kern w:val="0"/>
          <w:sz w:val="24"/>
          <w:szCs w:val="24"/>
          <w:lang w:val="en-US" w:eastAsia="zh-CN"/>
        </w:rPr>
        <w:t>房屋建筑与装饰部分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1.施工组织措施费：按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单独装饰</w:t>
      </w:r>
      <w:r>
        <w:rPr>
          <w:rFonts w:hint="eastAsia" w:ascii="宋体" w:hAnsi="宋体"/>
          <w:kern w:val="0"/>
          <w:sz w:val="24"/>
          <w:szCs w:val="24"/>
        </w:rPr>
        <w:t>工程一般计税费率中值计取，以人工费+机械费为计算基数，总费率为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7.18</w:t>
      </w:r>
      <w:r>
        <w:rPr>
          <w:rFonts w:hint="eastAsia" w:ascii="宋体" w:hAnsi="宋体"/>
          <w:kern w:val="0"/>
          <w:sz w:val="24"/>
          <w:szCs w:val="24"/>
        </w:rPr>
        <w:t xml:space="preserve"> %；</w:t>
      </w:r>
    </w:p>
    <w:p>
      <w:pPr>
        <w:pStyle w:val="48"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2.企业管理费：按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单独装饰</w:t>
      </w:r>
      <w:r>
        <w:rPr>
          <w:rFonts w:hint="eastAsia" w:ascii="宋体" w:hAnsi="宋体"/>
          <w:kern w:val="0"/>
          <w:sz w:val="24"/>
          <w:szCs w:val="24"/>
        </w:rPr>
        <w:t>工程一般计税费率中值计取，以人工费+机械费为计算基数，费率为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15.49</w:t>
      </w:r>
      <w:r>
        <w:rPr>
          <w:rFonts w:hint="eastAsia" w:ascii="宋体" w:hAnsi="宋体"/>
          <w:kern w:val="0"/>
          <w:sz w:val="24"/>
          <w:szCs w:val="24"/>
        </w:rPr>
        <w:t>%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Times New Roman"/>
          <w:sz w:val="24"/>
          <w:szCs w:val="24"/>
        </w:rPr>
        <w:t>其中安全生产责任保险费费率0.</w:t>
      </w:r>
      <w:r>
        <w:rPr>
          <w:rFonts w:hint="eastAsia" w:ascii="宋体" w:hAnsi="宋体" w:cs="Times New Roman"/>
          <w:sz w:val="24"/>
          <w:szCs w:val="24"/>
          <w:lang w:val="en-US" w:eastAsia="zh-CN"/>
        </w:rPr>
        <w:t>33</w:t>
      </w:r>
      <w:r>
        <w:rPr>
          <w:rFonts w:hint="eastAsia" w:ascii="宋体" w:hAnsi="宋体" w:eastAsia="宋体" w:cs="Times New Roman"/>
          <w:sz w:val="24"/>
          <w:szCs w:val="24"/>
        </w:rPr>
        <w:t>%；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3.利润： 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单独装饰</w:t>
      </w:r>
      <w:r>
        <w:rPr>
          <w:rFonts w:hint="eastAsia" w:ascii="宋体" w:hAnsi="宋体"/>
          <w:kern w:val="0"/>
          <w:sz w:val="24"/>
          <w:szCs w:val="24"/>
        </w:rPr>
        <w:t>工程工程一般计税费率中值计取，以人工费+机械费为计算基数，费率为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7.62</w:t>
      </w:r>
      <w:r>
        <w:rPr>
          <w:rFonts w:hint="eastAsia" w:ascii="宋体" w:hAnsi="宋体"/>
          <w:kern w:val="0"/>
          <w:sz w:val="24"/>
          <w:szCs w:val="24"/>
        </w:rPr>
        <w:t xml:space="preserve"> %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；</w:t>
      </w:r>
      <w:r>
        <w:rPr>
          <w:rFonts w:hint="eastAsia" w:ascii="宋体" w:hAnsi="宋体"/>
          <w:kern w:val="0"/>
          <w:sz w:val="24"/>
          <w:szCs w:val="24"/>
        </w:rPr>
        <w:t xml:space="preserve">          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 w:eastAsia="宋体"/>
          <w:kern w:val="0"/>
          <w:sz w:val="24"/>
          <w:szCs w:val="24"/>
          <w:lang w:eastAsia="zh-CN"/>
        </w:rPr>
      </w:pPr>
      <w:r>
        <w:rPr>
          <w:rFonts w:hint="eastAsia" w:ascii="宋体" w:hAnsi="宋体"/>
          <w:kern w:val="0"/>
          <w:sz w:val="24"/>
          <w:szCs w:val="24"/>
        </w:rPr>
        <w:t>4.规费： 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单独装饰</w:t>
      </w:r>
      <w:r>
        <w:rPr>
          <w:rFonts w:hint="eastAsia" w:ascii="宋体" w:hAnsi="宋体"/>
          <w:kern w:val="0"/>
          <w:sz w:val="24"/>
          <w:szCs w:val="24"/>
        </w:rPr>
        <w:t>工程工程一般计税费率计取，以人工费+机械费计算基数，费率为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27.92</w:t>
      </w:r>
      <w:r>
        <w:rPr>
          <w:rFonts w:hint="eastAsia" w:ascii="宋体" w:hAnsi="宋体"/>
          <w:kern w:val="0"/>
          <w:sz w:val="24"/>
          <w:szCs w:val="24"/>
        </w:rPr>
        <w:t xml:space="preserve"> %</w:t>
      </w:r>
      <w:r>
        <w:rPr>
          <w:rFonts w:hint="eastAsia" w:ascii="宋体" w:hAnsi="宋体"/>
          <w:kern w:val="0"/>
          <w:sz w:val="24"/>
          <w:szCs w:val="24"/>
          <w:lang w:eastAsia="zh-CN"/>
        </w:rPr>
        <w:t>；</w:t>
      </w:r>
    </w:p>
    <w:p>
      <w:pPr>
        <w:pStyle w:val="48"/>
        <w:widowControl/>
        <w:spacing w:line="500" w:lineRule="exact"/>
        <w:ind w:firstLine="480" w:firstLineChars="200"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>5.税金： 按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单独装饰</w:t>
      </w:r>
      <w:r>
        <w:rPr>
          <w:rFonts w:hint="eastAsia" w:ascii="宋体" w:hAnsi="宋体"/>
          <w:kern w:val="0"/>
          <w:sz w:val="24"/>
          <w:szCs w:val="24"/>
        </w:rPr>
        <w:t>工程工程一般计税方法税率计取，以税前工程造价为计算基数，税率为</w:t>
      </w:r>
      <w:r>
        <w:rPr>
          <w:rFonts w:hint="eastAsia" w:ascii="宋体" w:hAnsi="宋体"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/>
          <w:kern w:val="0"/>
          <w:sz w:val="24"/>
          <w:szCs w:val="24"/>
        </w:rPr>
        <w:t>%。</w:t>
      </w:r>
    </w:p>
    <w:p>
      <w:pPr>
        <w:numPr>
          <w:ilvl w:val="0"/>
          <w:numId w:val="0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 w:firstLine="241" w:firstLineChars="100"/>
        <w:outlineLvl w:val="0"/>
        <w:rPr>
          <w:rFonts w:hint="eastAsia"/>
          <w:b/>
          <w:lang w:val="en-US" w:eastAsia="zh-CN"/>
        </w:rPr>
      </w:pPr>
    </w:p>
    <w:p>
      <w:pPr>
        <w:numPr>
          <w:ilvl w:val="0"/>
          <w:numId w:val="3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 w:firstLine="241" w:firstLineChars="100"/>
        <w:outlineLvl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本工程预算造价</w:t>
      </w:r>
      <w:r>
        <w:rPr>
          <w:rFonts w:hint="eastAsia" w:ascii="宋体" w:hAnsi="宋体" w:eastAsia="宋体" w:cs="宋体"/>
          <w:b/>
          <w:lang w:val="en-US" w:eastAsia="zh-CN"/>
        </w:rPr>
        <w:t>为58.2332万</w:t>
      </w:r>
      <w:r>
        <w:rPr>
          <w:rFonts w:hint="eastAsia"/>
          <w:b/>
          <w:lang w:val="en-US" w:eastAsia="zh-CN"/>
        </w:rPr>
        <w:t>元。</w:t>
      </w:r>
    </w:p>
    <w:p>
      <w:pPr>
        <w:numPr>
          <w:ilvl w:val="0"/>
          <w:numId w:val="0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/>
        <w:outlineLvl w:val="0"/>
        <w:rPr>
          <w:rFonts w:hint="eastAsia"/>
          <w:b/>
          <w:lang w:val="en-US" w:eastAsia="zh-CN"/>
        </w:rPr>
      </w:pPr>
    </w:p>
    <w:p>
      <w:pPr>
        <w:numPr>
          <w:ilvl w:val="0"/>
          <w:numId w:val="0"/>
        </w:numPr>
        <w:tabs>
          <w:tab w:val="left" w:pos="1080"/>
          <w:tab w:val="left" w:pos="9180"/>
          <w:tab w:val="left" w:pos="9360"/>
        </w:tabs>
        <w:spacing w:line="360" w:lineRule="auto"/>
        <w:ind w:right="29" w:rightChars="12" w:firstLine="241" w:firstLineChars="100"/>
        <w:outlineLvl w:val="0"/>
        <w:rPr>
          <w:rFonts w:hint="eastAsia"/>
          <w:b/>
          <w:lang w:val="en-US" w:eastAsia="zh-CN"/>
        </w:rPr>
      </w:pPr>
      <w:r>
        <w:rPr>
          <w:rFonts w:hint="eastAsia"/>
          <w:b/>
          <w:lang w:val="en-US" w:eastAsia="zh-CN"/>
        </w:rPr>
        <w:t>八、其他说明：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1.工程量清单中的项目名称与特征描述仅指主要内容，未描述的内容与要求必须结合施工验收规范、当地行业主管部门要求、施工蓝图等进行报价及施工，投标报价时综合单价应充分考虑合同、招标文件、施工验收规范、当地行业主管部门要求、施工蓝图等明示和暗示的所有责任、义务和一般风险（除不可抗力及罕见的气候和地质条件）的全部费用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2.施工便道设置必须方便市民群众和本区块其它标段的施工，满足交警等道路管理部门要求，应充分考虑施工便道的设置方案，费用计入报价。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3.本工程周围建筑物及杆线的保护费、保证交通安全等要求投标单位综合考虑，并单列费用进入措施项目清单报价中，中标后不作调整。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4.施工期间特别要注意加强安全措施，施工中的安全标志、警戒标志、标牌制作、夜间照明费用等安全措施费在报价时进入措施项目报价清单中，中标后一律不作调整，请在投标报价中综合考虑。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5.投标人应考虑施工期间恶劣天气对工程整体进度的影响，在技术标中明确切实可行的技术防范措施来保证工程整体进度，将该费用列入措施项目清单报价中。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6.风险费自行考虑，计入综合单价。风险范围包括：详见招标文件。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7.临时设施在工程竣工验收后 15 天内搬迁完毕，场地清理干净，否则由建设单位负责拆除、清理，费用在工程款中扣除。</w:t>
      </w:r>
    </w:p>
    <w:p>
      <w:pPr>
        <w:pStyle w:val="48"/>
        <w:widowControl/>
        <w:spacing w:line="500" w:lineRule="exact"/>
        <w:ind w:firstLine="480" w:firstLineChars="200"/>
        <w:rPr>
          <w:rFonts w:hint="default" w:ascii="宋体" w:hAnsi="宋体"/>
          <w:kern w:val="0"/>
          <w:sz w:val="24"/>
          <w:szCs w:val="24"/>
          <w:lang w:val="en-US" w:eastAsia="zh-CN"/>
        </w:rPr>
      </w:pPr>
      <w:r>
        <w:rPr>
          <w:rFonts w:hint="default" w:ascii="宋体" w:hAnsi="宋体"/>
          <w:kern w:val="0"/>
          <w:sz w:val="24"/>
          <w:szCs w:val="24"/>
          <w:lang w:val="en-US" w:eastAsia="zh-CN"/>
        </w:rPr>
        <w:t>8.施工现场临时围挡应按照《杭州市建设工地临时用房及围挡安全管理办法》执行，围挡上的宣传标语、标志标牌等相关费用计入安全文明施工费中，不另行计量。</w:t>
      </w: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2085" cy="147955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20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-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1.65pt;width:13.55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C81RGj0QAA&#10;AAMBAAAPAAAAAAAAAAEAIAAAACIAAABkcnMvZG93bnJldi54bWxQSwECFAAUAAAACACHTuJAcocs&#10;8bMBAABJAwAADgAAAAAAAAABACAAAAAgAQAAZHJzL2Uyb0RvYy54bWxQSwUGAAAAAAYABgBZAQAA&#10;R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-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>-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thinThickLargeGap" w:color="auto" w:sz="24" w:space="17"/>
      </w:pBdr>
      <w:tabs>
        <w:tab w:val="left" w:pos="1394"/>
        <w:tab w:val="clear" w:pos="4153"/>
        <w:tab w:val="clear" w:pos="8306"/>
      </w:tabs>
      <w:jc w:val="left"/>
    </w:pPr>
    <w: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2766060" cy="2766060"/>
          <wp:effectExtent l="0" t="0" r="15240" b="15240"/>
          <wp:wrapNone/>
          <wp:docPr id="4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66060" cy="2766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57150</wp:posOffset>
          </wp:positionV>
          <wp:extent cx="1143000" cy="271780"/>
          <wp:effectExtent l="0" t="0" r="0" b="13970"/>
          <wp:wrapNone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43000" cy="271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FBFAC"/>
    <w:multiLevelType w:val="singleLevel"/>
    <w:tmpl w:val="24CFBFAC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4FA72FC"/>
    <w:multiLevelType w:val="singleLevel"/>
    <w:tmpl w:val="44FA72FC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ACDFA2B"/>
    <w:multiLevelType w:val="multilevel"/>
    <w:tmpl w:val="6ACDFA2B"/>
    <w:lvl w:ilvl="0" w:tentative="0">
      <w:start w:val="1"/>
      <w:numFmt w:val="japaneseCounting"/>
      <w:lvlText w:val="%1、"/>
      <w:lvlJc w:val="left"/>
      <w:pPr>
        <w:tabs>
          <w:tab w:val="left" w:pos="840"/>
        </w:tabs>
        <w:ind w:left="840" w:hanging="358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1124"/>
        </w:tabs>
        <w:ind w:left="1124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544"/>
        </w:tabs>
        <w:ind w:left="1544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964"/>
        </w:tabs>
        <w:ind w:left="1964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4"/>
        </w:tabs>
        <w:ind w:left="2384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804"/>
        </w:tabs>
        <w:ind w:left="2804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224"/>
        </w:tabs>
        <w:ind w:left="3224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44"/>
        </w:tabs>
        <w:ind w:left="3644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064"/>
        </w:tabs>
        <w:ind w:left="4064" w:hanging="42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20"/>
  <w:drawingGridVerticalSpacing w:val="163"/>
  <w:displayHorizontalDrawingGridEvery w:val="1"/>
  <w:displayVerticalDrawingGridEvery w:val="1"/>
  <w:noPunctuationKerning w:val="1"/>
  <w:characterSpacingControl w:val="doNotCompress"/>
  <w:doNotValidateAgainstSchema/>
  <w:doNotDemarcateInvalidXml/>
  <w:hdrShapeDefaults>
    <o:shapelayout v:ext="edit">
      <o:idmap v:ext="edit" data="1"/>
    </o:shapelayout>
  </w:hdrShapeDefaults>
  <w:compat>
    <w:spaceForUL/>
    <w:doNotLeaveBackslashAlon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5MjhmN2E0MjZjMjcyODlhNDBlYTIwNDlkZDBjMWMifQ=="/>
  </w:docVars>
  <w:rsids>
    <w:rsidRoot w:val="00172A27"/>
    <w:rsid w:val="00013517"/>
    <w:rsid w:val="00014750"/>
    <w:rsid w:val="00014F24"/>
    <w:rsid w:val="00024509"/>
    <w:rsid w:val="00030D04"/>
    <w:rsid w:val="00033B1D"/>
    <w:rsid w:val="00036ACE"/>
    <w:rsid w:val="00036AD2"/>
    <w:rsid w:val="0004433C"/>
    <w:rsid w:val="000461EB"/>
    <w:rsid w:val="000464F8"/>
    <w:rsid w:val="00046C7D"/>
    <w:rsid w:val="000513B3"/>
    <w:rsid w:val="000536A1"/>
    <w:rsid w:val="00055111"/>
    <w:rsid w:val="000624E6"/>
    <w:rsid w:val="000655AA"/>
    <w:rsid w:val="00071FF8"/>
    <w:rsid w:val="00075DBA"/>
    <w:rsid w:val="00082DB7"/>
    <w:rsid w:val="00087F59"/>
    <w:rsid w:val="000A5C9E"/>
    <w:rsid w:val="000B3C64"/>
    <w:rsid w:val="000D7721"/>
    <w:rsid w:val="000E37A7"/>
    <w:rsid w:val="000F2A74"/>
    <w:rsid w:val="000F4643"/>
    <w:rsid w:val="000F4E7C"/>
    <w:rsid w:val="000F74B0"/>
    <w:rsid w:val="00103A2C"/>
    <w:rsid w:val="00106F1E"/>
    <w:rsid w:val="0011415A"/>
    <w:rsid w:val="001320BB"/>
    <w:rsid w:val="00134F8F"/>
    <w:rsid w:val="00137E46"/>
    <w:rsid w:val="0014609B"/>
    <w:rsid w:val="001465BB"/>
    <w:rsid w:val="001503AD"/>
    <w:rsid w:val="00197802"/>
    <w:rsid w:val="001A0E55"/>
    <w:rsid w:val="001A1ECD"/>
    <w:rsid w:val="001A1F50"/>
    <w:rsid w:val="001B3D08"/>
    <w:rsid w:val="001C5DB6"/>
    <w:rsid w:val="001D7248"/>
    <w:rsid w:val="001E649D"/>
    <w:rsid w:val="001F7C2E"/>
    <w:rsid w:val="00205F9E"/>
    <w:rsid w:val="002074A3"/>
    <w:rsid w:val="00211356"/>
    <w:rsid w:val="002133D7"/>
    <w:rsid w:val="002134DC"/>
    <w:rsid w:val="0022339F"/>
    <w:rsid w:val="00237EBD"/>
    <w:rsid w:val="002436C9"/>
    <w:rsid w:val="00250117"/>
    <w:rsid w:val="00250FA2"/>
    <w:rsid w:val="0025510D"/>
    <w:rsid w:val="00267C38"/>
    <w:rsid w:val="002722C2"/>
    <w:rsid w:val="00273E9F"/>
    <w:rsid w:val="00274D14"/>
    <w:rsid w:val="00287342"/>
    <w:rsid w:val="00287EA7"/>
    <w:rsid w:val="002960FF"/>
    <w:rsid w:val="002973FC"/>
    <w:rsid w:val="002978D4"/>
    <w:rsid w:val="002B635C"/>
    <w:rsid w:val="002C6B03"/>
    <w:rsid w:val="002C7A6C"/>
    <w:rsid w:val="002D301E"/>
    <w:rsid w:val="002E3A6A"/>
    <w:rsid w:val="002E5140"/>
    <w:rsid w:val="002F4E98"/>
    <w:rsid w:val="002F646E"/>
    <w:rsid w:val="002F6893"/>
    <w:rsid w:val="00301095"/>
    <w:rsid w:val="00325D69"/>
    <w:rsid w:val="0032677A"/>
    <w:rsid w:val="0033771D"/>
    <w:rsid w:val="00340AAF"/>
    <w:rsid w:val="00346F13"/>
    <w:rsid w:val="003703F0"/>
    <w:rsid w:val="00375E73"/>
    <w:rsid w:val="00387F43"/>
    <w:rsid w:val="003A1257"/>
    <w:rsid w:val="003B0FCE"/>
    <w:rsid w:val="003B1005"/>
    <w:rsid w:val="003B3815"/>
    <w:rsid w:val="003B70E9"/>
    <w:rsid w:val="003C17B3"/>
    <w:rsid w:val="003C274B"/>
    <w:rsid w:val="003D079E"/>
    <w:rsid w:val="003D2230"/>
    <w:rsid w:val="003D61D7"/>
    <w:rsid w:val="003E521A"/>
    <w:rsid w:val="003F2C76"/>
    <w:rsid w:val="003F7655"/>
    <w:rsid w:val="004030DC"/>
    <w:rsid w:val="00404EA8"/>
    <w:rsid w:val="00427EC9"/>
    <w:rsid w:val="0043307A"/>
    <w:rsid w:val="00436045"/>
    <w:rsid w:val="00436FD5"/>
    <w:rsid w:val="00461803"/>
    <w:rsid w:val="00461B30"/>
    <w:rsid w:val="004638EE"/>
    <w:rsid w:val="00477526"/>
    <w:rsid w:val="004776FC"/>
    <w:rsid w:val="00484EB8"/>
    <w:rsid w:val="004853E7"/>
    <w:rsid w:val="0049410D"/>
    <w:rsid w:val="00497C04"/>
    <w:rsid w:val="004A4254"/>
    <w:rsid w:val="004A736C"/>
    <w:rsid w:val="004A76F3"/>
    <w:rsid w:val="004B263C"/>
    <w:rsid w:val="004B311D"/>
    <w:rsid w:val="004C04D6"/>
    <w:rsid w:val="004C1685"/>
    <w:rsid w:val="004E6C7B"/>
    <w:rsid w:val="004E6FB7"/>
    <w:rsid w:val="004F0C30"/>
    <w:rsid w:val="004F4063"/>
    <w:rsid w:val="004F5A73"/>
    <w:rsid w:val="004F5B42"/>
    <w:rsid w:val="004F6112"/>
    <w:rsid w:val="004F6FAB"/>
    <w:rsid w:val="00503A1D"/>
    <w:rsid w:val="005069CB"/>
    <w:rsid w:val="005100C8"/>
    <w:rsid w:val="00512CFF"/>
    <w:rsid w:val="00527C7E"/>
    <w:rsid w:val="00527D04"/>
    <w:rsid w:val="0053335F"/>
    <w:rsid w:val="00546A26"/>
    <w:rsid w:val="0056389A"/>
    <w:rsid w:val="00564D5B"/>
    <w:rsid w:val="00581FFC"/>
    <w:rsid w:val="005860E9"/>
    <w:rsid w:val="005973A3"/>
    <w:rsid w:val="005A0201"/>
    <w:rsid w:val="005A49D7"/>
    <w:rsid w:val="005B3A9F"/>
    <w:rsid w:val="005B55F9"/>
    <w:rsid w:val="005D30DA"/>
    <w:rsid w:val="005D64C0"/>
    <w:rsid w:val="005D6AF0"/>
    <w:rsid w:val="005D7370"/>
    <w:rsid w:val="005E1A1C"/>
    <w:rsid w:val="005E6761"/>
    <w:rsid w:val="00601F15"/>
    <w:rsid w:val="00603367"/>
    <w:rsid w:val="0062126E"/>
    <w:rsid w:val="00624EB0"/>
    <w:rsid w:val="0063066B"/>
    <w:rsid w:val="006319B1"/>
    <w:rsid w:val="00645EAE"/>
    <w:rsid w:val="006477CB"/>
    <w:rsid w:val="00651B55"/>
    <w:rsid w:val="006600ED"/>
    <w:rsid w:val="006825E1"/>
    <w:rsid w:val="00691951"/>
    <w:rsid w:val="006A1FD1"/>
    <w:rsid w:val="006A33D7"/>
    <w:rsid w:val="006A77C6"/>
    <w:rsid w:val="006B3A40"/>
    <w:rsid w:val="006C1885"/>
    <w:rsid w:val="006E7D23"/>
    <w:rsid w:val="006F4D5B"/>
    <w:rsid w:val="006F7A42"/>
    <w:rsid w:val="00700A73"/>
    <w:rsid w:val="00712FDA"/>
    <w:rsid w:val="00716854"/>
    <w:rsid w:val="007218EF"/>
    <w:rsid w:val="00721E55"/>
    <w:rsid w:val="0074357F"/>
    <w:rsid w:val="007470CC"/>
    <w:rsid w:val="00747AC4"/>
    <w:rsid w:val="007533B7"/>
    <w:rsid w:val="00760C7B"/>
    <w:rsid w:val="00770FE1"/>
    <w:rsid w:val="00774972"/>
    <w:rsid w:val="007773AE"/>
    <w:rsid w:val="00780C21"/>
    <w:rsid w:val="00791664"/>
    <w:rsid w:val="00794D20"/>
    <w:rsid w:val="007950B2"/>
    <w:rsid w:val="007A357D"/>
    <w:rsid w:val="007A54BB"/>
    <w:rsid w:val="007B2F0D"/>
    <w:rsid w:val="007D40A2"/>
    <w:rsid w:val="007F6481"/>
    <w:rsid w:val="007F6CE4"/>
    <w:rsid w:val="008007E8"/>
    <w:rsid w:val="0080691A"/>
    <w:rsid w:val="00833716"/>
    <w:rsid w:val="00837A5C"/>
    <w:rsid w:val="008407B6"/>
    <w:rsid w:val="00852967"/>
    <w:rsid w:val="0085400A"/>
    <w:rsid w:val="00870DEC"/>
    <w:rsid w:val="0088209C"/>
    <w:rsid w:val="008830BF"/>
    <w:rsid w:val="0088755C"/>
    <w:rsid w:val="00887E4F"/>
    <w:rsid w:val="00891B9A"/>
    <w:rsid w:val="008A5389"/>
    <w:rsid w:val="008B0D0D"/>
    <w:rsid w:val="008B3E87"/>
    <w:rsid w:val="008B6969"/>
    <w:rsid w:val="008C353C"/>
    <w:rsid w:val="008C6FCC"/>
    <w:rsid w:val="008C7801"/>
    <w:rsid w:val="008D6148"/>
    <w:rsid w:val="008E33C7"/>
    <w:rsid w:val="008E3D13"/>
    <w:rsid w:val="008F4A18"/>
    <w:rsid w:val="008F5C55"/>
    <w:rsid w:val="009000A2"/>
    <w:rsid w:val="00904B4A"/>
    <w:rsid w:val="009152F1"/>
    <w:rsid w:val="009203C5"/>
    <w:rsid w:val="0092155A"/>
    <w:rsid w:val="00922B4F"/>
    <w:rsid w:val="00922F70"/>
    <w:rsid w:val="00930AD8"/>
    <w:rsid w:val="00935D76"/>
    <w:rsid w:val="00936744"/>
    <w:rsid w:val="00937ECA"/>
    <w:rsid w:val="00942D0E"/>
    <w:rsid w:val="0095612A"/>
    <w:rsid w:val="009675E9"/>
    <w:rsid w:val="009808AF"/>
    <w:rsid w:val="00990BCA"/>
    <w:rsid w:val="009A336F"/>
    <w:rsid w:val="009A3C0F"/>
    <w:rsid w:val="009A4110"/>
    <w:rsid w:val="009A6023"/>
    <w:rsid w:val="009B132E"/>
    <w:rsid w:val="009B1644"/>
    <w:rsid w:val="009C16B7"/>
    <w:rsid w:val="009D300A"/>
    <w:rsid w:val="009D39A8"/>
    <w:rsid w:val="009E3733"/>
    <w:rsid w:val="009E3B12"/>
    <w:rsid w:val="009E5C77"/>
    <w:rsid w:val="009F625B"/>
    <w:rsid w:val="009F70AC"/>
    <w:rsid w:val="00A10C57"/>
    <w:rsid w:val="00A15A3D"/>
    <w:rsid w:val="00A23133"/>
    <w:rsid w:val="00A24E14"/>
    <w:rsid w:val="00A339C8"/>
    <w:rsid w:val="00A33F60"/>
    <w:rsid w:val="00A3445C"/>
    <w:rsid w:val="00A37919"/>
    <w:rsid w:val="00A443E1"/>
    <w:rsid w:val="00A4792A"/>
    <w:rsid w:val="00A51A52"/>
    <w:rsid w:val="00A537E0"/>
    <w:rsid w:val="00A6078B"/>
    <w:rsid w:val="00A7142F"/>
    <w:rsid w:val="00A76B14"/>
    <w:rsid w:val="00A828F4"/>
    <w:rsid w:val="00AB565F"/>
    <w:rsid w:val="00AC4266"/>
    <w:rsid w:val="00AD2D29"/>
    <w:rsid w:val="00AD44E1"/>
    <w:rsid w:val="00AD79B9"/>
    <w:rsid w:val="00AE0B05"/>
    <w:rsid w:val="00AE2F13"/>
    <w:rsid w:val="00AE5BA0"/>
    <w:rsid w:val="00AE6C0C"/>
    <w:rsid w:val="00AE74BD"/>
    <w:rsid w:val="00AF36F8"/>
    <w:rsid w:val="00B0379A"/>
    <w:rsid w:val="00B142EC"/>
    <w:rsid w:val="00B22B36"/>
    <w:rsid w:val="00B3095C"/>
    <w:rsid w:val="00B3183B"/>
    <w:rsid w:val="00B35D02"/>
    <w:rsid w:val="00B42AA4"/>
    <w:rsid w:val="00B52C62"/>
    <w:rsid w:val="00B54FBC"/>
    <w:rsid w:val="00B647F0"/>
    <w:rsid w:val="00B67FA7"/>
    <w:rsid w:val="00B87B5E"/>
    <w:rsid w:val="00BA5536"/>
    <w:rsid w:val="00BA7F84"/>
    <w:rsid w:val="00BB5465"/>
    <w:rsid w:val="00BB6332"/>
    <w:rsid w:val="00BC6E81"/>
    <w:rsid w:val="00BD7657"/>
    <w:rsid w:val="00BE7ACA"/>
    <w:rsid w:val="00BF45D2"/>
    <w:rsid w:val="00BF4F05"/>
    <w:rsid w:val="00BF500E"/>
    <w:rsid w:val="00C01775"/>
    <w:rsid w:val="00C018D1"/>
    <w:rsid w:val="00C07958"/>
    <w:rsid w:val="00C11624"/>
    <w:rsid w:val="00C205F0"/>
    <w:rsid w:val="00C219BD"/>
    <w:rsid w:val="00C21E3A"/>
    <w:rsid w:val="00C458FB"/>
    <w:rsid w:val="00C51629"/>
    <w:rsid w:val="00C552B7"/>
    <w:rsid w:val="00C62AD0"/>
    <w:rsid w:val="00C62DB9"/>
    <w:rsid w:val="00C63F2A"/>
    <w:rsid w:val="00C7305B"/>
    <w:rsid w:val="00C7470C"/>
    <w:rsid w:val="00C80446"/>
    <w:rsid w:val="00C8211B"/>
    <w:rsid w:val="00C8213A"/>
    <w:rsid w:val="00C83A6C"/>
    <w:rsid w:val="00C84F19"/>
    <w:rsid w:val="00C853A3"/>
    <w:rsid w:val="00C902C5"/>
    <w:rsid w:val="00CA7695"/>
    <w:rsid w:val="00CB034D"/>
    <w:rsid w:val="00CD4DEB"/>
    <w:rsid w:val="00CD5178"/>
    <w:rsid w:val="00CE0FCE"/>
    <w:rsid w:val="00CE1CAC"/>
    <w:rsid w:val="00CE5F48"/>
    <w:rsid w:val="00CF4F9D"/>
    <w:rsid w:val="00CF6531"/>
    <w:rsid w:val="00D05ADC"/>
    <w:rsid w:val="00D06F55"/>
    <w:rsid w:val="00D15691"/>
    <w:rsid w:val="00D158AD"/>
    <w:rsid w:val="00D20D80"/>
    <w:rsid w:val="00D371A1"/>
    <w:rsid w:val="00D4518B"/>
    <w:rsid w:val="00D5686C"/>
    <w:rsid w:val="00D67EE3"/>
    <w:rsid w:val="00D73E3B"/>
    <w:rsid w:val="00D77B0F"/>
    <w:rsid w:val="00D84419"/>
    <w:rsid w:val="00D91071"/>
    <w:rsid w:val="00D9448E"/>
    <w:rsid w:val="00DA32A9"/>
    <w:rsid w:val="00DA634E"/>
    <w:rsid w:val="00DB1432"/>
    <w:rsid w:val="00DB4E6F"/>
    <w:rsid w:val="00DC2F6E"/>
    <w:rsid w:val="00DC4C48"/>
    <w:rsid w:val="00DD5F2D"/>
    <w:rsid w:val="00DD79BF"/>
    <w:rsid w:val="00DE294A"/>
    <w:rsid w:val="00DE61B8"/>
    <w:rsid w:val="00DF1567"/>
    <w:rsid w:val="00DF2B0F"/>
    <w:rsid w:val="00E10E2F"/>
    <w:rsid w:val="00E3445C"/>
    <w:rsid w:val="00E41484"/>
    <w:rsid w:val="00E41DB5"/>
    <w:rsid w:val="00E47C43"/>
    <w:rsid w:val="00E51446"/>
    <w:rsid w:val="00E51AEE"/>
    <w:rsid w:val="00E60D12"/>
    <w:rsid w:val="00E613BB"/>
    <w:rsid w:val="00E6368C"/>
    <w:rsid w:val="00E719F9"/>
    <w:rsid w:val="00E823A2"/>
    <w:rsid w:val="00E94FF6"/>
    <w:rsid w:val="00EB071D"/>
    <w:rsid w:val="00EC0A9D"/>
    <w:rsid w:val="00EC3DA3"/>
    <w:rsid w:val="00EE27A8"/>
    <w:rsid w:val="00EF1005"/>
    <w:rsid w:val="00EF7E8B"/>
    <w:rsid w:val="00F02D97"/>
    <w:rsid w:val="00F054EC"/>
    <w:rsid w:val="00F1029E"/>
    <w:rsid w:val="00F572E9"/>
    <w:rsid w:val="00F65601"/>
    <w:rsid w:val="00F710CC"/>
    <w:rsid w:val="00F747A3"/>
    <w:rsid w:val="00F80620"/>
    <w:rsid w:val="00F900CE"/>
    <w:rsid w:val="00F91B33"/>
    <w:rsid w:val="00F923CC"/>
    <w:rsid w:val="00F94961"/>
    <w:rsid w:val="00FA18B7"/>
    <w:rsid w:val="00FA251B"/>
    <w:rsid w:val="00FA7EC5"/>
    <w:rsid w:val="00FB3755"/>
    <w:rsid w:val="00FB38E6"/>
    <w:rsid w:val="00FB50BC"/>
    <w:rsid w:val="00FB59CA"/>
    <w:rsid w:val="00FC0F19"/>
    <w:rsid w:val="00FC79C3"/>
    <w:rsid w:val="00FC7C5C"/>
    <w:rsid w:val="00FD480B"/>
    <w:rsid w:val="00FE2E59"/>
    <w:rsid w:val="00FE73DB"/>
    <w:rsid w:val="00FF0C31"/>
    <w:rsid w:val="01557A3F"/>
    <w:rsid w:val="01626D55"/>
    <w:rsid w:val="023C66B8"/>
    <w:rsid w:val="024B344F"/>
    <w:rsid w:val="03494ECC"/>
    <w:rsid w:val="038500F8"/>
    <w:rsid w:val="03CC5ECA"/>
    <w:rsid w:val="042A0462"/>
    <w:rsid w:val="048E7480"/>
    <w:rsid w:val="04AA4233"/>
    <w:rsid w:val="04C44C50"/>
    <w:rsid w:val="04EE14A4"/>
    <w:rsid w:val="072B6851"/>
    <w:rsid w:val="079600FE"/>
    <w:rsid w:val="07BF12C2"/>
    <w:rsid w:val="08DF64FD"/>
    <w:rsid w:val="09A824A0"/>
    <w:rsid w:val="0A2574B3"/>
    <w:rsid w:val="0A4444E4"/>
    <w:rsid w:val="0A4D7496"/>
    <w:rsid w:val="0A5151D8"/>
    <w:rsid w:val="0A575703"/>
    <w:rsid w:val="0AF7560D"/>
    <w:rsid w:val="0BC301D9"/>
    <w:rsid w:val="0BED05DB"/>
    <w:rsid w:val="0C762CD4"/>
    <w:rsid w:val="0CEC69C1"/>
    <w:rsid w:val="0CF956B3"/>
    <w:rsid w:val="0D154302"/>
    <w:rsid w:val="0D1D7190"/>
    <w:rsid w:val="0D935B07"/>
    <w:rsid w:val="0DB34DC5"/>
    <w:rsid w:val="0E224840"/>
    <w:rsid w:val="0E807E3A"/>
    <w:rsid w:val="0F9C62AB"/>
    <w:rsid w:val="0FF30ADF"/>
    <w:rsid w:val="10360A28"/>
    <w:rsid w:val="105B53E4"/>
    <w:rsid w:val="109A074C"/>
    <w:rsid w:val="10A4325A"/>
    <w:rsid w:val="114C5FF1"/>
    <w:rsid w:val="118123DB"/>
    <w:rsid w:val="118D31D7"/>
    <w:rsid w:val="119B5D70"/>
    <w:rsid w:val="1220184D"/>
    <w:rsid w:val="1270704D"/>
    <w:rsid w:val="12876C72"/>
    <w:rsid w:val="128D65FD"/>
    <w:rsid w:val="129F4319"/>
    <w:rsid w:val="12B26A30"/>
    <w:rsid w:val="12EC7C9C"/>
    <w:rsid w:val="132605A7"/>
    <w:rsid w:val="13B65166"/>
    <w:rsid w:val="13C13135"/>
    <w:rsid w:val="13FD7AD9"/>
    <w:rsid w:val="140F3276"/>
    <w:rsid w:val="14193B86"/>
    <w:rsid w:val="141D5E0F"/>
    <w:rsid w:val="144F4060"/>
    <w:rsid w:val="14D26837"/>
    <w:rsid w:val="16CC1E75"/>
    <w:rsid w:val="17400225"/>
    <w:rsid w:val="17AA4179"/>
    <w:rsid w:val="189F1804"/>
    <w:rsid w:val="18D75BD4"/>
    <w:rsid w:val="18EA696C"/>
    <w:rsid w:val="19166537"/>
    <w:rsid w:val="19525097"/>
    <w:rsid w:val="19AA0FA9"/>
    <w:rsid w:val="19B418B8"/>
    <w:rsid w:val="1A880997"/>
    <w:rsid w:val="1A8B2040"/>
    <w:rsid w:val="1AB374E2"/>
    <w:rsid w:val="1B784A1C"/>
    <w:rsid w:val="1BB27180"/>
    <w:rsid w:val="1DB40F7F"/>
    <w:rsid w:val="20497803"/>
    <w:rsid w:val="21591BA3"/>
    <w:rsid w:val="21AD2926"/>
    <w:rsid w:val="21FA3A22"/>
    <w:rsid w:val="22FD1376"/>
    <w:rsid w:val="233649D3"/>
    <w:rsid w:val="237613B4"/>
    <w:rsid w:val="240B614A"/>
    <w:rsid w:val="242A28CA"/>
    <w:rsid w:val="253D7326"/>
    <w:rsid w:val="2585551C"/>
    <w:rsid w:val="263E265D"/>
    <w:rsid w:val="27AE16A9"/>
    <w:rsid w:val="2889433C"/>
    <w:rsid w:val="28E374EB"/>
    <w:rsid w:val="29496ECC"/>
    <w:rsid w:val="29A30860"/>
    <w:rsid w:val="29AC0786"/>
    <w:rsid w:val="2AE333EA"/>
    <w:rsid w:val="2B9B2B99"/>
    <w:rsid w:val="2CBF5DAB"/>
    <w:rsid w:val="2D3D5B48"/>
    <w:rsid w:val="2D581074"/>
    <w:rsid w:val="2DF36570"/>
    <w:rsid w:val="2E1606DB"/>
    <w:rsid w:val="2E2831C7"/>
    <w:rsid w:val="2F0C4ABE"/>
    <w:rsid w:val="2FB461D1"/>
    <w:rsid w:val="2FC17A65"/>
    <w:rsid w:val="2FEA0C29"/>
    <w:rsid w:val="304143E5"/>
    <w:rsid w:val="3061222A"/>
    <w:rsid w:val="308D1737"/>
    <w:rsid w:val="3106021B"/>
    <w:rsid w:val="320C542C"/>
    <w:rsid w:val="322936D7"/>
    <w:rsid w:val="32DA70E0"/>
    <w:rsid w:val="330F332F"/>
    <w:rsid w:val="344B7ED9"/>
    <w:rsid w:val="34666505"/>
    <w:rsid w:val="350F0F1C"/>
    <w:rsid w:val="3522139B"/>
    <w:rsid w:val="35C441A4"/>
    <w:rsid w:val="36992FA1"/>
    <w:rsid w:val="36DD0212"/>
    <w:rsid w:val="374E0226"/>
    <w:rsid w:val="37645B6D"/>
    <w:rsid w:val="37BC7885"/>
    <w:rsid w:val="38184717"/>
    <w:rsid w:val="38C67D33"/>
    <w:rsid w:val="3AA472C4"/>
    <w:rsid w:val="3B674E03"/>
    <w:rsid w:val="3B691AD2"/>
    <w:rsid w:val="3BDD02C5"/>
    <w:rsid w:val="3D56682D"/>
    <w:rsid w:val="3DD34EFD"/>
    <w:rsid w:val="3E4458D5"/>
    <w:rsid w:val="3EA62CD7"/>
    <w:rsid w:val="3EB50A11"/>
    <w:rsid w:val="3EBD28FC"/>
    <w:rsid w:val="3EF40857"/>
    <w:rsid w:val="3F112386"/>
    <w:rsid w:val="3FC6532D"/>
    <w:rsid w:val="406903B9"/>
    <w:rsid w:val="408A636F"/>
    <w:rsid w:val="408F05F9"/>
    <w:rsid w:val="40980F08"/>
    <w:rsid w:val="40F46821"/>
    <w:rsid w:val="43B3461E"/>
    <w:rsid w:val="445B4DB6"/>
    <w:rsid w:val="44996E9A"/>
    <w:rsid w:val="44C147DB"/>
    <w:rsid w:val="44DE6309"/>
    <w:rsid w:val="45282005"/>
    <w:rsid w:val="46AD3081"/>
    <w:rsid w:val="470B7EE1"/>
    <w:rsid w:val="489E3325"/>
    <w:rsid w:val="48C93947"/>
    <w:rsid w:val="48DF209C"/>
    <w:rsid w:val="493A36B0"/>
    <w:rsid w:val="4AA80B2F"/>
    <w:rsid w:val="4AF22A01"/>
    <w:rsid w:val="4B400582"/>
    <w:rsid w:val="4C721BF8"/>
    <w:rsid w:val="4C850C19"/>
    <w:rsid w:val="4CD51C9D"/>
    <w:rsid w:val="508354E5"/>
    <w:rsid w:val="50F54C60"/>
    <w:rsid w:val="51360F4D"/>
    <w:rsid w:val="513769CE"/>
    <w:rsid w:val="51BD0E26"/>
    <w:rsid w:val="51C97C57"/>
    <w:rsid w:val="52756B57"/>
    <w:rsid w:val="535B75CD"/>
    <w:rsid w:val="538C1421"/>
    <w:rsid w:val="538D6EA3"/>
    <w:rsid w:val="53BC636D"/>
    <w:rsid w:val="55466588"/>
    <w:rsid w:val="5617654C"/>
    <w:rsid w:val="57A411D6"/>
    <w:rsid w:val="5805272B"/>
    <w:rsid w:val="582726A1"/>
    <w:rsid w:val="59E73D0F"/>
    <w:rsid w:val="59EC76FE"/>
    <w:rsid w:val="5A425322"/>
    <w:rsid w:val="5A4675AB"/>
    <w:rsid w:val="5A501A8A"/>
    <w:rsid w:val="5A897C95"/>
    <w:rsid w:val="5C0F141D"/>
    <w:rsid w:val="5C7B120D"/>
    <w:rsid w:val="5C867ADA"/>
    <w:rsid w:val="5D6972B8"/>
    <w:rsid w:val="5ED8702A"/>
    <w:rsid w:val="61730D12"/>
    <w:rsid w:val="61996BAE"/>
    <w:rsid w:val="625A33E9"/>
    <w:rsid w:val="625D436D"/>
    <w:rsid w:val="63B93EDC"/>
    <w:rsid w:val="63FF2724"/>
    <w:rsid w:val="64D7563A"/>
    <w:rsid w:val="65000502"/>
    <w:rsid w:val="657D3011"/>
    <w:rsid w:val="65806194"/>
    <w:rsid w:val="65CC5377"/>
    <w:rsid w:val="66F50139"/>
    <w:rsid w:val="67A13C10"/>
    <w:rsid w:val="67A24F14"/>
    <w:rsid w:val="685D7846"/>
    <w:rsid w:val="690310F5"/>
    <w:rsid w:val="691B0EFE"/>
    <w:rsid w:val="6983542A"/>
    <w:rsid w:val="69F34C95"/>
    <w:rsid w:val="6A334ED5"/>
    <w:rsid w:val="6A500C38"/>
    <w:rsid w:val="6A584189"/>
    <w:rsid w:val="6A6D289F"/>
    <w:rsid w:val="6A942CE9"/>
    <w:rsid w:val="6AF44007"/>
    <w:rsid w:val="6B873576"/>
    <w:rsid w:val="6CEB1A97"/>
    <w:rsid w:val="6D170809"/>
    <w:rsid w:val="6DD61B41"/>
    <w:rsid w:val="6DF4388B"/>
    <w:rsid w:val="6E4965FC"/>
    <w:rsid w:val="6FA8783E"/>
    <w:rsid w:val="70100167"/>
    <w:rsid w:val="714B246D"/>
    <w:rsid w:val="717A2FBC"/>
    <w:rsid w:val="718E1C5D"/>
    <w:rsid w:val="720F536D"/>
    <w:rsid w:val="73727874"/>
    <w:rsid w:val="73FE4ED9"/>
    <w:rsid w:val="74027162"/>
    <w:rsid w:val="748E25CA"/>
    <w:rsid w:val="74AF2AFE"/>
    <w:rsid w:val="75D94B83"/>
    <w:rsid w:val="76446418"/>
    <w:rsid w:val="7646191B"/>
    <w:rsid w:val="76764668"/>
    <w:rsid w:val="77334A1B"/>
    <w:rsid w:val="788F055B"/>
    <w:rsid w:val="78B26191"/>
    <w:rsid w:val="795821A2"/>
    <w:rsid w:val="795934A7"/>
    <w:rsid w:val="7BBB7CA3"/>
    <w:rsid w:val="7BFD4E3C"/>
    <w:rsid w:val="7C57180B"/>
    <w:rsid w:val="7C62561D"/>
    <w:rsid w:val="7CC321BF"/>
    <w:rsid w:val="7D2F59D0"/>
    <w:rsid w:val="7ED10C1A"/>
    <w:rsid w:val="7F066EF6"/>
    <w:rsid w:val="7F0F1D84"/>
    <w:rsid w:val="7F7207A3"/>
    <w:rsid w:val="7F8B38CC"/>
    <w:rsid w:val="7FC811B2"/>
    <w:rsid w:val="B67F3CC1"/>
    <w:rsid w:val="C5BE1D45"/>
    <w:rsid w:val="E52F10C4"/>
    <w:rsid w:val="FF8B16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character" w:default="1" w:styleId="24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4">
    <w:name w:val="Document Map"/>
    <w:basedOn w:val="1"/>
    <w:link w:val="30"/>
    <w:unhideWhenUsed/>
    <w:qFormat/>
    <w:uiPriority w:val="99"/>
    <w:rPr>
      <w:rFonts w:cs="Times New Roman"/>
      <w:sz w:val="18"/>
      <w:szCs w:val="18"/>
    </w:rPr>
  </w:style>
  <w:style w:type="paragraph" w:styleId="5">
    <w:name w:val="annotation text"/>
    <w:basedOn w:val="1"/>
    <w:link w:val="31"/>
    <w:unhideWhenUsed/>
    <w:qFormat/>
    <w:uiPriority w:val="99"/>
    <w:rPr>
      <w:rFonts w:cs="Times New Roman"/>
    </w:rPr>
  </w:style>
  <w:style w:type="paragraph" w:styleId="6">
    <w:name w:val="toc 5"/>
    <w:basedOn w:val="1"/>
    <w:next w:val="1"/>
    <w:qFormat/>
    <w:uiPriority w:val="39"/>
    <w:pPr>
      <w:widowControl w:val="0"/>
      <w:tabs>
        <w:tab w:val="right" w:leader="dot" w:pos="8296"/>
      </w:tabs>
      <w:ind w:left="1050" w:leftChars="5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7">
    <w:name w:val="toc 3"/>
    <w:basedOn w:val="1"/>
    <w:next w:val="1"/>
    <w:qFormat/>
    <w:uiPriority w:val="39"/>
    <w:pPr>
      <w:widowControl w:val="0"/>
      <w:ind w:left="840" w:leftChars="4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8">
    <w:name w:val="toc 8"/>
    <w:basedOn w:val="1"/>
    <w:next w:val="1"/>
    <w:unhideWhenUsed/>
    <w:qFormat/>
    <w:uiPriority w:val="39"/>
    <w:pPr>
      <w:widowControl w:val="0"/>
      <w:ind w:left="2940" w:leftChars="14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9">
    <w:name w:val="Date"/>
    <w:basedOn w:val="1"/>
    <w:next w:val="1"/>
    <w:link w:val="32"/>
    <w:unhideWhenUsed/>
    <w:qFormat/>
    <w:uiPriority w:val="99"/>
    <w:pPr>
      <w:ind w:left="100" w:leftChars="2500"/>
    </w:pPr>
    <w:rPr>
      <w:rFonts w:cs="Times New Roman"/>
    </w:rPr>
  </w:style>
  <w:style w:type="paragraph" w:styleId="10">
    <w:name w:val="Balloon Text"/>
    <w:basedOn w:val="1"/>
    <w:link w:val="33"/>
    <w:unhideWhenUsed/>
    <w:qFormat/>
    <w:uiPriority w:val="99"/>
    <w:rPr>
      <w:rFonts w:cs="Times New Roman"/>
      <w:sz w:val="18"/>
      <w:szCs w:val="18"/>
    </w:rPr>
  </w:style>
  <w:style w:type="paragraph" w:styleId="11">
    <w:name w:val="footer"/>
    <w:basedOn w:val="1"/>
    <w:link w:val="34"/>
    <w:unhideWhenUsed/>
    <w:qFormat/>
    <w:uiPriority w:val="0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13">
    <w:name w:val="toc 1"/>
    <w:basedOn w:val="1"/>
    <w:next w:val="1"/>
    <w:unhideWhenUsed/>
    <w:qFormat/>
    <w:uiPriority w:val="39"/>
    <w:rPr>
      <w:rFonts w:eastAsia="黑体"/>
      <w:sz w:val="28"/>
    </w:rPr>
  </w:style>
  <w:style w:type="paragraph" w:styleId="14">
    <w:name w:val="toc 4"/>
    <w:basedOn w:val="1"/>
    <w:next w:val="1"/>
    <w:qFormat/>
    <w:uiPriority w:val="39"/>
    <w:pPr>
      <w:widowControl w:val="0"/>
      <w:tabs>
        <w:tab w:val="left" w:pos="1890"/>
        <w:tab w:val="right" w:leader="dot" w:pos="8296"/>
      </w:tabs>
      <w:ind w:left="630" w:leftChars="300"/>
      <w:jc w:val="both"/>
    </w:pPr>
    <w:rPr>
      <w:rFonts w:ascii="Calibri" w:hAnsi="Calibri" w:cs="Times New Roman"/>
      <w:kern w:val="2"/>
      <w:sz w:val="21"/>
      <w:szCs w:val="22"/>
    </w:rPr>
  </w:style>
  <w:style w:type="paragraph" w:styleId="15">
    <w:name w:val="Subtitle"/>
    <w:basedOn w:val="1"/>
    <w:next w:val="1"/>
    <w:link w:val="36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6">
    <w:name w:val="toc 6"/>
    <w:basedOn w:val="1"/>
    <w:next w:val="1"/>
    <w:unhideWhenUsed/>
    <w:qFormat/>
    <w:uiPriority w:val="39"/>
    <w:pPr>
      <w:widowControl w:val="0"/>
      <w:ind w:left="2100" w:leftChars="10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17">
    <w:name w:val="toc 2"/>
    <w:basedOn w:val="1"/>
    <w:next w:val="1"/>
    <w:unhideWhenUsed/>
    <w:qFormat/>
    <w:uiPriority w:val="39"/>
    <w:pPr>
      <w:ind w:left="420" w:leftChars="200"/>
    </w:pPr>
  </w:style>
  <w:style w:type="paragraph" w:styleId="18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="Calibri" w:hAnsi="Calibri" w:eastAsia="宋体" w:cs="Times New Roman"/>
      <w:kern w:val="2"/>
      <w:sz w:val="21"/>
      <w:szCs w:val="22"/>
    </w:rPr>
  </w:style>
  <w:style w:type="paragraph" w:styleId="19">
    <w:name w:val="Normal (Web)"/>
    <w:basedOn w:val="1"/>
    <w:unhideWhenUsed/>
    <w:qFormat/>
    <w:uiPriority w:val="99"/>
    <w:pPr>
      <w:spacing w:before="100" w:beforeLines="0" w:beforeAutospacing="1" w:after="100" w:afterLines="0" w:afterAutospacing="1"/>
    </w:pPr>
  </w:style>
  <w:style w:type="paragraph" w:styleId="20">
    <w:name w:val="Title"/>
    <w:basedOn w:val="1"/>
    <w:next w:val="1"/>
    <w:link w:val="37"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1">
    <w:name w:val="annotation subject"/>
    <w:basedOn w:val="5"/>
    <w:next w:val="5"/>
    <w:link w:val="38"/>
    <w:unhideWhenUsed/>
    <w:qFormat/>
    <w:uiPriority w:val="99"/>
    <w:rPr>
      <w:b/>
      <w:bCs/>
    </w:rPr>
  </w:style>
  <w:style w:type="table" w:styleId="23">
    <w:name w:val="Table Grid"/>
    <w:basedOn w:val="22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25">
    <w:name w:val="page number"/>
    <w:unhideWhenUsed/>
    <w:qFormat/>
    <w:uiPriority w:val="99"/>
  </w:style>
  <w:style w:type="character" w:styleId="26">
    <w:name w:val="FollowedHyperlink"/>
    <w:unhideWhenUsed/>
    <w:qFormat/>
    <w:uiPriority w:val="99"/>
    <w:rPr>
      <w:color w:val="800080"/>
      <w:u w:val="single"/>
    </w:r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21"/>
      <w:szCs w:val="21"/>
    </w:rPr>
  </w:style>
  <w:style w:type="character" w:customStyle="1" w:styleId="29">
    <w:name w:val="标题 1 字符"/>
    <w:link w:val="2"/>
    <w:qFormat/>
    <w:uiPriority w:val="9"/>
    <w:rPr>
      <w:rFonts w:ascii="宋体" w:hAnsi="宋体" w:cs="宋体"/>
      <w:b/>
      <w:bCs/>
      <w:kern w:val="44"/>
      <w:sz w:val="44"/>
      <w:szCs w:val="44"/>
    </w:rPr>
  </w:style>
  <w:style w:type="character" w:customStyle="1" w:styleId="30">
    <w:name w:val="文档结构图 字符"/>
    <w:link w:val="4"/>
    <w:semiHidden/>
    <w:qFormat/>
    <w:uiPriority w:val="99"/>
    <w:rPr>
      <w:rFonts w:ascii="宋体" w:hAnsi="宋体" w:cs="宋体"/>
      <w:sz w:val="18"/>
      <w:szCs w:val="18"/>
    </w:rPr>
  </w:style>
  <w:style w:type="character" w:customStyle="1" w:styleId="31">
    <w:name w:val="批注文字 字符"/>
    <w:link w:val="5"/>
    <w:semiHidden/>
    <w:qFormat/>
    <w:uiPriority w:val="99"/>
    <w:rPr>
      <w:rFonts w:ascii="宋体" w:hAnsi="宋体" w:cs="宋体"/>
      <w:sz w:val="24"/>
      <w:szCs w:val="24"/>
    </w:rPr>
  </w:style>
  <w:style w:type="character" w:customStyle="1" w:styleId="32">
    <w:name w:val="日期 字符"/>
    <w:link w:val="9"/>
    <w:semiHidden/>
    <w:qFormat/>
    <w:uiPriority w:val="99"/>
    <w:rPr>
      <w:rFonts w:ascii="宋体" w:hAnsi="宋体" w:cs="宋体"/>
      <w:sz w:val="24"/>
      <w:szCs w:val="24"/>
    </w:rPr>
  </w:style>
  <w:style w:type="character" w:customStyle="1" w:styleId="33">
    <w:name w:val="批注框文本 字符"/>
    <w:link w:val="10"/>
    <w:semiHidden/>
    <w:qFormat/>
    <w:uiPriority w:val="99"/>
    <w:rPr>
      <w:rFonts w:ascii="宋体" w:hAnsi="宋体" w:cs="宋体"/>
      <w:sz w:val="18"/>
      <w:szCs w:val="18"/>
    </w:rPr>
  </w:style>
  <w:style w:type="character" w:customStyle="1" w:styleId="34">
    <w:name w:val="页脚 字符"/>
    <w:link w:val="11"/>
    <w:qFormat/>
    <w:uiPriority w:val="0"/>
    <w:rPr>
      <w:rFonts w:ascii="宋体" w:hAnsi="宋体" w:eastAsia="宋体" w:cs="宋体"/>
      <w:sz w:val="18"/>
      <w:szCs w:val="18"/>
    </w:rPr>
  </w:style>
  <w:style w:type="character" w:customStyle="1" w:styleId="35">
    <w:name w:val="页眉 字符1"/>
    <w:link w:val="12"/>
    <w:semiHidden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36">
    <w:name w:val="副标题 字符"/>
    <w:link w:val="15"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37">
    <w:name w:val="标题 字符"/>
    <w:link w:val="20"/>
    <w:qFormat/>
    <w:uiPriority w:val="10"/>
    <w:rPr>
      <w:rFonts w:ascii="Cambria" w:hAnsi="Cambria"/>
      <w:b/>
      <w:bCs/>
      <w:sz w:val="24"/>
      <w:szCs w:val="32"/>
    </w:rPr>
  </w:style>
  <w:style w:type="character" w:customStyle="1" w:styleId="38">
    <w:name w:val="批注主题 字符"/>
    <w:link w:val="21"/>
    <w:semiHidden/>
    <w:qFormat/>
    <w:uiPriority w:val="99"/>
    <w:rPr>
      <w:rFonts w:ascii="宋体" w:hAnsi="宋体" w:cs="宋体"/>
      <w:b/>
      <w:bCs/>
      <w:sz w:val="24"/>
      <w:szCs w:val="24"/>
    </w:rPr>
  </w:style>
  <w:style w:type="character" w:customStyle="1" w:styleId="39">
    <w:name w:val="15"/>
    <w:qFormat/>
    <w:uiPriority w:val="0"/>
    <w:rPr>
      <w:rFonts w:hint="default" w:ascii="Times New Roman" w:hAnsi="Times New Roman" w:cs="Times New Roman"/>
      <w:color w:val="464445"/>
      <w:u w:val="none"/>
    </w:rPr>
  </w:style>
  <w:style w:type="paragraph" w:customStyle="1" w:styleId="40">
    <w:name w:val="stitle"/>
    <w:basedOn w:val="1"/>
    <w:qFormat/>
    <w:uiPriority w:val="0"/>
    <w:pPr>
      <w:spacing w:before="100" w:beforeLines="0" w:beforeAutospacing="1" w:after="100" w:afterLines="0" w:afterAutospacing="1"/>
    </w:pPr>
    <w:rPr>
      <w:smallCaps/>
      <w:color w:val="000000"/>
      <w:sz w:val="20"/>
      <w:szCs w:val="20"/>
    </w:rPr>
  </w:style>
  <w:style w:type="paragraph" w:customStyle="1" w:styleId="41">
    <w:name w:val="zhang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2">
    <w:name w:val="tiao"/>
    <w:basedOn w:val="1"/>
    <w:qFormat/>
    <w:uiPriority w:val="0"/>
    <w:pPr>
      <w:shd w:val="clear" w:color="auto" w:fill="AFEEEE"/>
      <w:spacing w:before="100" w:beforeLines="0" w:beforeAutospacing="1" w:after="100" w:afterLines="0" w:afterAutospacing="1"/>
    </w:pPr>
    <w:rPr>
      <w:i/>
      <w:iCs/>
      <w:smallCaps/>
      <w:color w:val="6600CC"/>
      <w:sz w:val="20"/>
      <w:szCs w:val="20"/>
    </w:rPr>
  </w:style>
  <w:style w:type="paragraph" w:customStyle="1" w:styleId="43">
    <w:name w:val="content"/>
    <w:basedOn w:val="1"/>
    <w:qFormat/>
    <w:uiPriority w:val="0"/>
    <w:pPr>
      <w:spacing w:before="100" w:beforeLines="0" w:beforeAutospacing="1" w:after="100" w:afterLines="0" w:afterAutospacing="1" w:line="384" w:lineRule="auto"/>
    </w:pPr>
    <w:rPr>
      <w:sz w:val="18"/>
      <w:szCs w:val="18"/>
    </w:rPr>
  </w:style>
  <w:style w:type="paragraph" w:customStyle="1" w:styleId="44">
    <w:name w:val="mtitle"/>
    <w:basedOn w:val="1"/>
    <w:qFormat/>
    <w:uiPriority w:val="0"/>
    <w:pPr>
      <w:spacing w:before="100" w:beforeLines="0" w:beforeAutospacing="1" w:after="100" w:afterLines="0" w:afterAutospacing="1" w:line="336" w:lineRule="auto"/>
    </w:pPr>
    <w:rPr>
      <w:b/>
      <w:bCs/>
      <w:smallCaps/>
      <w:color w:val="000000"/>
      <w:sz w:val="20"/>
      <w:szCs w:val="20"/>
    </w:rPr>
  </w:style>
  <w:style w:type="paragraph" w:customStyle="1" w:styleId="45">
    <w:name w:val="mnotes"/>
    <w:basedOn w:val="1"/>
    <w:qFormat/>
    <w:uiPriority w:val="0"/>
    <w:pPr>
      <w:shd w:val="clear" w:color="auto" w:fill="AFEEEE"/>
      <w:spacing w:before="100" w:beforeLines="0" w:beforeAutospacing="1" w:after="100" w:afterLines="0" w:afterAutospacing="1" w:line="336" w:lineRule="auto"/>
    </w:pPr>
    <w:rPr>
      <w:smallCaps/>
      <w:color w:val="008080"/>
      <w:sz w:val="20"/>
      <w:szCs w:val="20"/>
    </w:rPr>
  </w:style>
  <w:style w:type="paragraph" w:customStyle="1" w:styleId="46">
    <w:name w:val="p17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47">
    <w:name w:val="tiaonoa"/>
    <w:basedOn w:val="1"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18"/>
      <w:szCs w:val="18"/>
    </w:rPr>
  </w:style>
  <w:style w:type="paragraph" w:customStyle="1" w:styleId="48">
    <w:name w:val="p0"/>
    <w:basedOn w:val="1"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49">
    <w:name w:val="tiaoyin"/>
    <w:basedOn w:val="1"/>
    <w:qFormat/>
    <w:uiPriority w:val="0"/>
    <w:pPr>
      <w:spacing w:before="100" w:beforeLines="0" w:beforeAutospacing="1" w:after="100" w:afterLines="0" w:afterAutospacing="1"/>
    </w:pPr>
    <w:rPr>
      <w:smallCaps/>
      <w:color w:val="FF0000"/>
      <w:sz w:val="20"/>
      <w:szCs w:val="20"/>
    </w:rPr>
  </w:style>
  <w:style w:type="paragraph" w:customStyle="1" w:styleId="50">
    <w:name w:val="_Style 49"/>
    <w:basedOn w:val="2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character" w:customStyle="1" w:styleId="51">
    <w:name w:val="页眉 字符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381</Words>
  <Characters>2172</Characters>
  <Lines>18</Lines>
  <Paragraphs>5</Paragraphs>
  <TotalTime>8</TotalTime>
  <ScaleCrop>false</ScaleCrop>
  <LinksUpToDate>false</LinksUpToDate>
  <CharactersWithSpaces>2548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2023-10-12T06:46:00Z</dcterms:created>
  <dc:creator>hp</dc:creator>
  <cp:lastModifiedBy>汪大大哥哥</cp:lastModifiedBy>
  <cp:lastPrinted>2024-10-30T08:28:00Z</cp:lastPrinted>
  <dcterms:modified xsi:type="dcterms:W3CDTF">2024-10-30T08:53:48Z</dcterms:modified>
  <dc:title>建设部、国家工商行政管理总局关于印发《建设工程造价咨询合同(示范文本)》的通知--北大法宝--北大法律信息网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CD0502D42D0B4691B981ED21CE9A33FB_13</vt:lpwstr>
  </property>
</Properties>
</file>